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ÍNDICE DE REGISTROS DO PROJETO — AASP GERENCIADOR · GRUPOS DE USUÁRIOS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INDICE-AASP01   ·   Versão 1.1   ·   23/06/2026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INDICE-AASP01-001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Grupos de Usuários — AASP Gerenciador (Feature AG)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AASP01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Produto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ms.auxo.gruposusuarios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23/06/2026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Natureza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Documento de controle / índice — apoio interno. Organiza a produção das evidências do projeto; não é, ele próprio, evidência auditável pela ASR.</w:t>
            </w:r>
          </w:p>
        </w:tc>
      </w:tr>
    </w:tbl>
    <w:p>
      <w:pPr>
        <w:spacing w:before="120" w:after="120"/>
      </w:pPr>
    </w:p>
    <w:p>
      <w:pPr>
        <w:spacing w:before="80" w:after="80"/>
        <w:ind w:left="720"/>
      </w:pPr>
      <w:r>
        <w:rPr>
          <w:rFonts w:ascii="Calibri" w:hAnsi="Calibri"/>
          <w:i/>
          <w:color w:val="555555"/>
          <w:sz w:val="20"/>
        </w:rPr>
        <w:t xml:space="preserve">Como usar: este índice mapeia os registros MPS-SW do projeto AASP01, o processo de origem e o status de cada um. Conforme cada artefato evolui, atualizar a coluna Status e registrar no histórico ao final.</w:t>
      </w:r>
    </w:p>
    <w:p>
      <w:pPr>
        <w:pStyle w:val="Heading2"/>
      </w:pPr>
      <w:r>
        <w:rPr>
          <w:rFonts w:ascii="Calibri" w:hAnsi="Calibri"/>
        </w:rPr>
        <w:t>1. Contexto e Momento do Projeto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rFonts w:ascii="Calibri" w:hAnsi="Calibri"/>
          <w:sz w:val="20"/>
        </w:rPr>
        <w:t xml:space="preserve">Início: 19/05/2026 (Kickoff) · Encerramento previsto: 11/07/2026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rFonts w:ascii="Calibri" w:hAnsi="Calibri"/>
          <w:sz w:val="20"/>
        </w:rPr>
        <w:t xml:space="preserve">Status atual (23/06/2026): em execução — Sprint 1 concluída e aceita (06/06/2026); Sprint 2 em andamento; Sprint 3 planejada.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rFonts w:ascii="Calibri" w:hAnsi="Calibri"/>
          <w:sz w:val="20"/>
        </w:rPr>
        <w:t xml:space="preserve">Nível de adaptação: 2 — Padrão (ver ADAP-AASP01-001).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rFonts w:ascii="Calibri" w:hAnsi="Calibri"/>
          <w:sz w:val="20"/>
        </w:rPr>
        <w:t xml:space="preserve">Fases do processo-padrão (PRO-GPC-001): Abertura, Discovery/Requisitos, Concepção e Planejamento concluídas; Desenvolvimento em curso; Homologação e Encerramento previstos para a Sprint 3.</w:t>
      </w:r>
    </w:p>
    <w:p>
      <w:pPr>
        <w:pStyle w:val="Heading2"/>
      </w:pPr>
      <w:r>
        <w:rPr>
          <w:rFonts w:ascii="Calibri" w:hAnsi="Calibri"/>
        </w:rPr>
        <w:t>2. Registros do Projeto</w:t>
      </w:r>
    </w:p>
    <w:p>
      <w:pPr>
        <w:spacing w:before="80" w:after="80"/>
      </w:pPr>
      <w:r>
        <w:rPr>
          <w:rFonts w:ascii="Calibri" w:hAnsi="Calibri"/>
          <w:sz w:val="20"/>
        </w:rPr>
        <w:t xml:space="preserve">Legenda de status: gerado e no repositório · previsto (encerramento).</w:t>
      </w:r>
    </w:p>
    <w:tbl>
      <w:tblPr>
        <w:tblW w:type="auto" w:w="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780"/>
        <w:gridCol w:w="1780"/>
        <w:gridCol w:w="1780"/>
        <w:gridCol w:w="1780"/>
        <w:gridCol w:w="1782"/>
      </w:tblGrid>
      <w:tr>
        <w:trPr>
          <w:tblHeader/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Código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Documento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Processo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TAP-AASP01-001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Termo de Abertura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PLA-AASP01-001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Plano de Projeto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ADAP-AASP01-001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Adaptação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RAC-AASP01-001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Relatório de Acompanhamento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CR-AASP01-001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Change Requests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 / GCO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REQ-AASP01-001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Documento de Requisitos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REQ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RASTR-AASP01-001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Matriz de Rastreabilidade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REQ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PCP-AASP01-001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Documento de Design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PCP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GDE-AASP01-001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Análise de Decisão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GDE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ITP-AASP01-001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Estratégia de Integração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ITP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VV-AASP01-001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Plano de Verificação e Validação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VV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CTQ-AASP01-001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Cenários de Teste e Homologação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VV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REL-VV-AASP01-001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Relatório de Execução de Testes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VV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REV-AASP01-001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Revisão Técnica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VV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GCO-AASP01-001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Gerência de Configuração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GCO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MED-AASP01-001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Medição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MED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CAP-AASP01-001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Capacitação da Equipe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CAP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GQA-AASP01-001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Registro de Verificação de GQA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GPC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GEST-AASP01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Planilha de Gestão do Projeto (xlsx)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20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ATA-AASP01-001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Ata de Kickoff (19/05/2026)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ORG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21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ATA-AASP01-002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Ata de Aceite — Sprint 1 (06/06/2026)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ORG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Gerado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22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TAE-AASP01-001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Termo de Encerramento e 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Previsto — Sprint 3 (encerramento)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23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LI-AASP01-001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Lições Aprendidas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GPR</w:t>
            </w:r>
          </w:p>
        </w:tc>
        <w:tc>
          <w:tcPr>
            <w:tcW w:type="dxa" w:w="178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Previsto — Sprint 3 (encerramento)</w:t>
            </w:r>
          </w:p>
        </w:tc>
      </w:tr>
    </w:tbl>
    <w:p>
      <w:pPr>
        <w:spacing w:before="80" w:after="80"/>
        <w:ind w:left="720"/>
      </w:pPr>
      <w:r>
        <w:rPr>
          <w:rFonts w:ascii="Calibri" w:hAnsi="Calibri"/>
          <w:i/>
          <w:color w:val="555555"/>
          <w:sz w:val="20"/>
        </w:rPr>
        <w:t xml:space="preserve">Aquisição (AQU): não aplicável — não houve subcontratação de desenvolvimento (equipe própria Timeware). Insumos de serviço (APIs e ambientes do cliente) são tratados em ITP-AASP01-001 e nos riscos do PLA-AASP01-001.</w:t>
      </w:r>
    </w:p>
    <w:p>
      <w:pPr>
        <w:pStyle w:val="Heading2"/>
      </w:pPr>
      <w:r>
        <w:rPr>
          <w:rFonts w:ascii="Calibri" w:hAnsi="Calibri"/>
        </w:rPr>
        <w:t>3. Observações de Classificação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rFonts w:ascii="Calibri" w:hAnsi="Calibri"/>
          <w:sz w:val="20"/>
        </w:rPr>
        <w:t xml:space="preserve">Formato: registros produzidos em Markdown (.md) e convertidos para Word (.docx); planilha de gestão em .xlsx.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rFonts w:ascii="Calibri" w:hAnsi="Calibri"/>
          <w:sz w:val="20"/>
        </w:rPr>
        <w:t xml:space="preserve">Nomes reais nos registros: os registros de identificação e de capacidade (TAP, PLA, ATAs, GQA, CAP) nominam a equipe real, conforme a camada de capacidade do modelo.</w:t>
      </w:r>
    </w:p>
    <w:p>
      <w:pPr>
        <w:pStyle w:val="Heading2"/>
      </w:pPr>
      <w:r>
        <w:rPr>
          <w:rFonts w:ascii="Calibri" w:hAnsi="Calibri"/>
        </w:rPr>
        <w:t>Histórico de Revisões</w:t>
      </w:r>
    </w:p>
    <w:tbl>
      <w:tblPr>
        <w:tblW w:type="auto" w:w="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0"/>
        <w:gridCol w:w="1400"/>
        <w:gridCol w:w="1800"/>
        <w:gridCol w:w="4502"/>
      </w:tblGrid>
      <w:tr>
        <w:trPr>
          <w:tblHeader/>
          <w:cantSplit w:val="1"/>
        </w:trPr>
        <w:tc>
          <w:tcPr>
            <w:tcW w:type="dxa" w:w="120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Versão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Data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Autor</w:t>
            </w:r>
          </w:p>
        </w:tc>
        <w:tc>
          <w:tcPr>
            <w:tcW w:type="dxa" w:w="450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type="dxa" w:w="120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1.0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15/06/2026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Abraão Oliveira</w:t>
            </w:r>
          </w:p>
        </w:tc>
        <w:tc>
          <w:tcPr>
            <w:tcW w:type="dxa" w:w="4502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Criação do índice de registros do projeto AASP01 (Sprint 2 em andamento)</w:t>
            </w:r>
          </w:p>
        </w:tc>
      </w:tr>
      <w:tr>
        <w:trPr>
          <w:cantSplit w:val="1"/>
        </w:trPr>
        <w:tc>
          <w:tcPr>
            <w:tcW w:type="dxa" w:w="1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1.1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23/06/2026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Abraão Oliveira</w:t>
            </w:r>
          </w:p>
        </w:tc>
        <w:tc>
          <w:tcPr>
            <w:tcW w:type="dxa" w:w="450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 xml:space="preserve">TAE e LI corrigidos de Sprint 4 para Sprint 3 (encerramento)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INDICE-AASP01</w:t>
    </w:r>
    <w:r>
      <w:tab/>
    </w:r>
    <w:r>
      <w:rPr>
        <w:rFonts w:ascii="Calibri" w:hAnsi="Calibri"/>
        <w:color w:val="555555"/>
        <w:sz w:val="18"/>
      </w:rPr>
      <w:t>Controle de Documentação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