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GDE-AASP01-001   ·   Versão 1.1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ORM para acesso ao banco SQL Server (Dapper vs Entity Framework Core)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ms.auxo.gruposusuarios precisa de uma camada de acesso ao banco SQL Server (auxo3). O microsserviço roda em .NET 5 (net5.0) e o Dapper já é o padrão de acesso a dados estabelecido nos demais módulos do Gerenciador da AASP. A escolha do ORM e uma decisão arquitetural com impacto em toda a camada de dados do microsserviço, afetando performance, manutenção, consistência com o restante do projeto e aderência ao schema legado do banco auxo3.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Micro-ORM open-source; queries SQL explicitas escritas pelo desenvolvedor; suporte pleno e oficial ao .NET 5; alto desempenho em operações de leitura e escrita; baixo overhead de memória e CPU; já utilizado em outros módulos do Gerenciador AASP como padrão estabelecido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Entity Framework Core 6.x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completo da Microsoft com abstração via LINQ e DbContext; plenamente suportado no .NET 5, porém introduziria um segundo padrão de acesso a dados divergente do restante do Gerenciador; curva de aprendizado de migrations e DbContext; overhead maior em queries simples comparado ao Dapper; geração de SQL pode ser opaca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ADO.NET puro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sem ORM; máximo controle sobre as queries; verboso e com alto custo de manutenção para operações CRUD; requer muito código boilerplate para cada operação; não oferece vantagem real sobre Dapper para este cenário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do SQL e aderência ao schema legado do 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padrão existente do projeto Gerenciador AASP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operações de leitura (listagem de grupos, relatórios)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manutenção e debugging de queries SQL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 atual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Dapper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6.x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ADO.NET puro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do SQL / schema legado auxo3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SQL explícito escrito à mão, ideal para o schema legado e suas convenções de nomenclatura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o mapeamento automático do EF Core sofre com o schema legado; ajustes exigem configuração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do SQL, porém com alto custo de boilerplate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com 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Dapper já e o padrão adotado nos outros módulos do Gerenciador AASP; equipe conhece o padrão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EF Core seria uma exceção no projeto, introduzindo um segundo padrão de acesso a dados sem justificativa técnica suficiente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possível de usar, mas introduz verbosidade e diferenca de estilo em relação ao restante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queries SQL otimizadas escritas diretamente pelo desenvolvedor; sem overhead de tradução LINQ para SQL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pode gerar SQL ineficiente via LINQ para queries complexas; otimizações exigem conhecimento avancado do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controle total sobre o SQL; sem overhead de ORM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Manutenção e debugging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SQL explicito e legivel no código; fácil de debugar e otimizar queries diretamente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mas o SQL gerado pelo EF Core pode ser opaco e difícil de debugar sem ferramentas adicionais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código muito verboso para CRUD básico; alto custo de manutenção para operações simples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trabalha com Dapper nos outros módulos; sem necessidade de treinamento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Media — EF Core tem curva de aprendizado significativa com migrations, DbContext, fluent API e comportamentos de tracking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ADO.NET e simples conceitualmente, mas verbose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Dapper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consistência com o padrão de acesso a dados já estabelecido no Gerenciador AASP (Dapper) e o controle fino sobre o SQL — importante para o schema legado do banco auxo3 — foram os fatores determinantes. O Dapper oferece performance superior em queries de leitura e baixo overhead, e a equipe já possui experiência consolidada com o micro-ORM nos outros módulos do projeto, eliminando curva de aprendizado e garantindo consistência arquitetural. O EF Core, embora plenamente suportado no .NET 5, introduziria um segundo padrão de acesso a dados divergente do restante do projeto, com geração de SQL menos transparente sobre o schema legado. A alternativa C (ADO.NET puro) foi descartada por não oferecer vantagem real sobre o Dapper para este cenário, com custo de manutenção significativamente maior.</w:t>
      </w:r>
    </w:p>
    <w:p>
      <w:pPr>
        <w:pStyle w:val="Heading2"/>
        <w:keepNext/>
        <w:keepLines/>
      </w:pPr>
      <w:r>
        <w:t>6. Impacto e riscos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 arquitetural:</w:t>
      </w:r>
      <w:r>
        <w:rPr>
          <w:rFonts w:ascii="Calibri" w:hAnsi="Calibri"/>
          <w:b w:val="0"/>
          <w:i w:val="0"/>
          <w:sz w:val="22"/>
        </w:rPr>
        <w:t xml:space="preserve"> toda a camada de repositório do ms.auxo.gruposusuarios usara Dapper com queries SQL explicitas; migrations e alterações de schema serão gerenciadas por scripts .sql versionados no repositório (sem EF Core migrations)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 aceito:</w:t>
      </w:r>
      <w:r>
        <w:rPr>
          <w:rFonts w:ascii="Calibri" w:hAnsi="Calibri"/>
          <w:b w:val="0"/>
          <w:i w:val="0"/>
          <w:sz w:val="22"/>
        </w:rPr>
        <w:t xml:space="preserve"> maior verbosidade no repositório em comparação com EF Core para operações simples; mitigado pela consistência com o padrão do projeto e pela experiência da equipe com Dapper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Decisão validada por:</w:t>
      </w:r>
      <w:r>
        <w:rPr>
          <w:rFonts w:ascii="Calibri" w:hAnsi="Calibri"/>
          <w:b w:val="0"/>
          <w:i w:val="0"/>
          <w:sz w:val="22"/>
        </w:rPr>
        <w:t xml:space="preserve"> Cezar Hiraki (TL) e Marcos Turnes (PO) no Kickoff em 19/05/2026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Estratégia de exclusão de grupos (Soft Delete vs Hard Delete)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Ao excluir um grupo de usuários, e necessário decidir se o registro e removido fisicamente do banco (hard delete via DELETE SQL) ou apenas marcado como excluido (soft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 A decisão impacta integridade referencial das tabelas relacionadas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), auditabilidade do sistema e conformidade com os requisitos do processo MPS-SW de rastreabilidade.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Registro permanece fisicamente no banco;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definido como 1 na operação de exclusão; todas as queries de listagem filtram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>; histórico de dados preservado; integridade referencial com as tabelas relacionadas mantida sem cascata de deleções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Hard Delete (exclusão física)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removido do banco via DELETE SQL; implementação mais simples; perde o histórico do grupo; pode causar registros orfaos nas tabelas relacionadas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>), a menos que se implemente CASCADE DELETE ou exclusão manual em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preservação do histórico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para fins de auditoria e conformidade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esperado e validado pelo PO (AASP)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— Matriz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Soft Delete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Hard Delete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Integridade referencial e histórico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Excelente — os registros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permanecem integros; histórico completo preservado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exige CASCADE DELETE nas tabelas relacionadas ou exclusão manual em cascata; histórico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e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grupos excluidos podem ser consultados para auditoria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Ruim — registros relacionados ficam orfaos após hard delete; rastreabilidade comprometida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validado pelo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Marcos Turnes validou a abordagem de soft delete no 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validado — não e a expectativa do 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Media — requer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 filtro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excluido = 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queries de listagem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DELETE SQL simples; porém exige tratamento de cascata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Escolhido: Alternativa A — Soft Delete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Justificativa: A integridade referencial e critica para o ms.auxo.gruposusuarios — grupos possuem histórico de vinculos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 e de funções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que não devem ser perdidos. O hard delete exigiria cascata de exclusões ou geraria registros orfaos nas tabelas relacionadas, comprometendo a rastreabilidade exigida pelo processo MPS-SW. O soft delete preserva o histórico completo, e compativel com o requisito de auditoria (AG-23 — planejado para a Sprint 2) e alinhado com a rastreabilidade exigida pelo MPS-SW nível C. Decisão validada com o PO Marcos Turnes no Kickoff em 19/05/2026 (referenciado como D-02 na ATA-AASP01-001).</w:t>
      </w:r>
    </w:p>
    <w:p>
      <w:pPr>
        <w:pStyle w:val="Heading2"/>
        <w:keepNext/>
        <w:keepLines/>
      </w:pPr>
      <w:r>
        <w:t>6. Impacto da decisão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Tabela `grupos_usuarios`: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 xml:space="preserve"> (0 = ativo, 1 = excluido) e </w:t>
      </w:r>
      <w:r>
        <w:rPr>
          <w:rFonts w:ascii="Courier New" w:hAnsi="Courier New"/>
          <w:b w:val="0"/>
          <w:i w:val="0"/>
          <w:color w:val="333333"/>
          <w:sz w:val="20"/>
        </w:rPr>
        <w:t>data_exclusao</w:t>
      </w:r>
      <w:r>
        <w:rPr>
          <w:rFonts w:ascii="Calibri" w:hAnsi="Calibri"/>
          <w:b w:val="0"/>
          <w:i w:val="0"/>
          <w:sz w:val="22"/>
        </w:rPr>
        <w:t xml:space="preserve"> usados para o soft delete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Endpoint `excluirgrupo`:</w:t>
      </w:r>
      <w:r>
        <w:rPr>
          <w:rFonts w:ascii="Calibri" w:hAnsi="Calibri"/>
          <w:b w:val="0"/>
          <w:i w:val="0"/>
          <w:sz w:val="22"/>
        </w:rPr>
        <w:t xml:space="preserve"> executa </w:t>
      </w:r>
      <w:r>
        <w:rPr>
          <w:rFonts w:ascii="Courier New" w:hAnsi="Courier New"/>
          <w:b w:val="0"/>
          <w:i w:val="0"/>
          <w:color w:val="333333"/>
          <w:sz w:val="20"/>
        </w:rPr>
        <w:t>UPDATE grupos_usuarios SET excluido = 1, data_exclusao = GETDATE() WHERE id = @id</w:t>
      </w:r>
      <w:r>
        <w:rPr>
          <w:rFonts w:ascii="Calibri" w:hAnsi="Calibri"/>
          <w:b w:val="0"/>
          <w:i w:val="0"/>
          <w:sz w:val="22"/>
        </w:rPr>
        <w:t xml:space="preserve"> — não executa DELETE SQL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Queries de listagem:</w:t>
      </w:r>
      <w:r>
        <w:rPr>
          <w:rFonts w:ascii="Calibri" w:hAnsi="Calibri"/>
          <w:b w:val="0"/>
          <w:i w:val="0"/>
          <w:sz w:val="22"/>
        </w:rPr>
        <w:t xml:space="preserve"> todas as queries de SELECT em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 filtram </w:t>
      </w:r>
      <w:r>
        <w:rPr>
          <w:rFonts w:ascii="Courier New" w:hAnsi="Courier New"/>
          <w:b w:val="0"/>
          <w:i w:val="0"/>
          <w:color w:val="333333"/>
          <w:sz w:val="20"/>
        </w:rPr>
        <w:t>WHERE excluido = 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Hard delete:</w:t>
      </w:r>
      <w:r>
        <w:rPr>
          <w:rFonts w:ascii="Calibri" w:hAnsi="Calibri"/>
          <w:b w:val="0"/>
          <w:i w:val="0"/>
          <w:sz w:val="22"/>
        </w:rPr>
        <w:t xml:space="preserve"> nunca executado via API; apenas o time de DBA pode remover registros diretamente no banco em casos excepcionais e documentados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Soft delete de vinculos:</w:t>
      </w:r>
      <w:r>
        <w:rPr>
          <w:rFonts w:ascii="Calibri" w:hAnsi="Calibri"/>
          <w:b w:val="0"/>
          <w:i w:val="0"/>
          <w:sz w:val="22"/>
        </w:rPr>
        <w:t xml:space="preserve"> a mesma estratégia se aplica 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 —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faz </w:t>
      </w:r>
      <w:r>
        <w:rPr>
          <w:rFonts w:ascii="Courier New" w:hAnsi="Courier New"/>
          <w:b w:val="0"/>
          <w:i w:val="0"/>
          <w:color w:val="333333"/>
          <w:sz w:val="20"/>
        </w:rPr>
        <w:t>UPDATE ... SET excluido = 1</w:t>
      </w:r>
      <w:r>
        <w:rPr>
          <w:rFonts w:ascii="Calibri" w:hAnsi="Calibri"/>
          <w:b w:val="0"/>
          <w:i w:val="0"/>
          <w:sz w:val="22"/>
        </w:rPr>
        <w:t>, não DELETE do registro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decisões GDE-001 (Dapper) e GDE-002 (Soft Delete) tomadas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GDE-002 alinhado ao schema real (soft delete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grupos_usuarios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_funcao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 alinhado ao runtime real (.NET 5); justificativa refeita com base em consistência com o padrão do Gerenciador, performance e controle do schema legado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