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PCP-AASP01-001   ·   Versão 1.2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microsserviço </w:t>
      </w:r>
      <w:r>
        <w:rPr>
          <w:rFonts w:ascii="Calibri" w:hAnsi="Calibri"/>
          <w:b/>
          <w:i w:val="0"/>
          <w:sz w:val="22"/>
        </w:rPr>
        <w:t>ms.auxo.gruposusuarios</w:t>
      </w:r>
      <w:r>
        <w:rPr>
          <w:rFonts w:ascii="Calibri" w:hAnsi="Calibri"/>
          <w:b w:val="0"/>
          <w:i w:val="0"/>
          <w:sz w:val="22"/>
        </w:rPr>
        <w:t xml:space="preserve"> e uma Web API desenvolvida em .NET 5 com Dapper como ORM e SQL Server (banco principal auxo3) como banco de dados. Os endpoints são expostos pelo controller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na rota base </w:t>
      </w:r>
      <w:r>
        <w:rPr>
          <w:rFonts w:ascii="Calibri" w:hAnsi="Calibri"/>
          <w:b/>
          <w:i w:val="0"/>
          <w:sz w:val="22"/>
        </w:rPr>
        <w:t>`api/gerenciar/grupos`</w:t>
      </w:r>
      <w:r>
        <w:rPr>
          <w:rFonts w:ascii="Calibri" w:hAnsi="Calibri"/>
          <w:b w:val="0"/>
          <w:i w:val="0"/>
          <w:sz w:val="22"/>
        </w:rPr>
        <w:t xml:space="preserve">, utilizando apenas os verbos GET e POST e respondendo num envelope padrão </w:t>
      </w:r>
      <w:r>
        <w:rPr>
          <w:rFonts w:ascii="Courier New" w:hAnsi="Courier New"/>
          <w:b w:val="0"/>
          <w:i w:val="0"/>
          <w:color w:val="333333"/>
          <w:sz w:val="20"/>
        </w:rPr>
        <w:t>{ Sucesso, MensagemPublica, RetornaDados, HoraExecucao }</w:t>
      </w:r>
      <w:r>
        <w:rPr>
          <w:rFonts w:ascii="Calibri" w:hAnsi="Calibri"/>
          <w:b w:val="0"/>
          <w:i w:val="0"/>
          <w:sz w:val="22"/>
        </w:rPr>
        <w:t xml:space="preserve"> com HTTP 200 (sucesso) ou 400 (erro/validação).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e multi-tenant: toda operação e escopada por </w:t>
      </w:r>
      <w:r>
        <w:rPr>
          <w:rFonts w:ascii="Calibri" w:hAnsi="Calibri"/>
          <w:b/>
          <w:i w:val="0"/>
          <w:sz w:val="22"/>
        </w:rPr>
        <w:t>`escritorio_id`</w:t>
      </w:r>
      <w:r>
        <w:rPr>
          <w:rFonts w:ascii="Calibri" w:hAnsi="Calibri"/>
          <w:b w:val="0"/>
          <w:i w:val="0"/>
          <w:sz w:val="22"/>
        </w:rPr>
        <w:t xml:space="preserve"> (escritorio). As funcionalidades entregues na Sprint 1 são: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CRUD de grupos</w:t>
      </w:r>
      <w:r>
        <w:rPr>
          <w:rFonts w:ascii="Calibri" w:hAnsi="Calibri"/>
          <w:b w:val="0"/>
          <w:i w:val="0"/>
          <w:sz w:val="22"/>
        </w:rPr>
        <w:t xml:space="preserve">: criação, listagem, busca por ID, alteração, exclusão e ativação/desativação de grupos (tabela </w:t>
      </w:r>
      <w:r>
        <w:rPr>
          <w:rFonts w:ascii="Courier New" w:hAnsi="Courier New"/>
          <w:b w:val="0"/>
          <w:i w:val="0"/>
          <w:color w:val="333333"/>
          <w:sz w:val="20"/>
        </w:rPr>
        <w:t>grupos_usuarios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Membros do grupo</w:t>
      </w:r>
      <w:r>
        <w:rPr>
          <w:rFonts w:ascii="Calibri" w:hAnsi="Calibri"/>
          <w:b w:val="0"/>
          <w:i w:val="0"/>
          <w:sz w:val="22"/>
        </w:rPr>
        <w:t xml:space="preserve">: associação de usuários ao grupo pela lista </w:t>
      </w:r>
      <w:r>
        <w:rPr>
          <w:rFonts w:ascii="Courier New" w:hAnsi="Courier New"/>
          <w:b w:val="0"/>
          <w:i w:val="0"/>
          <w:color w:val="333333"/>
          <w:sz w:val="20"/>
        </w:rPr>
        <w:t>GrupoDeUsuarios</w:t>
      </w:r>
      <w:r>
        <w:rPr>
          <w:rFonts w:ascii="Calibri" w:hAnsi="Calibri"/>
          <w:b w:val="0"/>
          <w:i w:val="0"/>
          <w:sz w:val="22"/>
        </w:rPr>
        <w:t xml:space="preserve"> enviada em </w:t>
      </w:r>
      <w:r>
        <w:rPr>
          <w:rFonts w:ascii="Courier New" w:hAnsi="Courier New"/>
          <w:b w:val="0"/>
          <w:i w:val="0"/>
          <w:color w:val="333333"/>
          <w:sz w:val="20"/>
        </w:rPr>
        <w:t>incluirgrupo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alterargrupo</w:t>
      </w:r>
      <w:r>
        <w:rPr>
          <w:rFonts w:ascii="Calibri" w:hAnsi="Calibri"/>
          <w:b w:val="0"/>
          <w:i w:val="0"/>
          <w:sz w:val="22"/>
        </w:rPr>
        <w:t xml:space="preserve">, e remoção individual via </w:t>
      </w:r>
      <w:r>
        <w:rPr>
          <w:rFonts w:ascii="Courier New" w:hAnsi="Courier New"/>
          <w:b w:val="0"/>
          <w:i w:val="0"/>
          <w:color w:val="333333"/>
          <w:sz w:val="20"/>
        </w:rPr>
        <w:t>removerusuario</w:t>
      </w:r>
      <w:r>
        <w:rPr>
          <w:rFonts w:ascii="Calibri" w:hAnsi="Calibri"/>
          <w:b w:val="0"/>
          <w:i w:val="0"/>
          <w:sz w:val="22"/>
        </w:rPr>
        <w:t xml:space="preserve"> (tabela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Função do usuário</w:t>
      </w:r>
      <w:r>
        <w:rPr>
          <w:rFonts w:ascii="Calibri" w:hAnsi="Calibri"/>
          <w:b w:val="0"/>
          <w:i w:val="0"/>
          <w:sz w:val="22"/>
        </w:rPr>
        <w:t xml:space="preserve">: definição do papel do usuário no grupo — </w:t>
      </w:r>
      <w:r>
        <w:rPr>
          <w:rFonts w:ascii="Courier New" w:hAnsi="Courier New"/>
          <w:b w:val="0"/>
          <w:i w:val="0"/>
          <w:color w:val="333333"/>
          <w:sz w:val="20"/>
        </w:rPr>
        <w:t>Usuario</w:t>
      </w:r>
      <w:r>
        <w:rPr>
          <w:rFonts w:ascii="Calibri" w:hAnsi="Calibri"/>
          <w:b w:val="0"/>
          <w:i w:val="0"/>
          <w:sz w:val="22"/>
        </w:rPr>
        <w:t xml:space="preserve"> (0) ou </w:t>
      </w:r>
      <w:r>
        <w:rPr>
          <w:rFonts w:ascii="Courier New" w:hAnsi="Courier New"/>
          <w:b w:val="0"/>
          <w:i w:val="0"/>
          <w:color w:val="333333"/>
          <w:sz w:val="20"/>
        </w:rPr>
        <w:t>Administrador</w:t>
      </w:r>
      <w:r>
        <w:rPr>
          <w:rFonts w:ascii="Calibri" w:hAnsi="Calibri"/>
          <w:b w:val="0"/>
          <w:i w:val="0"/>
          <w:sz w:val="22"/>
        </w:rPr>
        <w:t xml:space="preserve"> (1) — via </w:t>
      </w:r>
      <w:r>
        <w:rPr>
          <w:rFonts w:ascii="Courier New" w:hAnsi="Courier New"/>
          <w:b w:val="0"/>
          <w:i w:val="0"/>
          <w:color w:val="333333"/>
          <w:sz w:val="20"/>
        </w:rPr>
        <w:t>alterarfuncaodousuario</w:t>
      </w:r>
      <w:r>
        <w:rPr>
          <w:rFonts w:ascii="Calibri" w:hAnsi="Calibri"/>
          <w:b w:val="0"/>
          <w:i w:val="0"/>
          <w:sz w:val="22"/>
        </w:rPr>
        <w:t xml:space="preserve"> (tabela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grupos_usuarios_funcao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Estão planejadas para sprints futuras (ainda </w:t>
      </w:r>
      <w:r>
        <w:rPr>
          <w:rFonts w:ascii="Calibri" w:hAnsi="Calibri"/>
          <w:b/>
          <w:i w:val="0"/>
          <w:sz w:val="22"/>
        </w:rPr>
        <w:t>não implementadas</w:t>
      </w:r>
      <w:r>
        <w:rPr>
          <w:rFonts w:ascii="Calibri" w:hAnsi="Calibri"/>
          <w:b w:val="0"/>
          <w:i w:val="0"/>
          <w:sz w:val="22"/>
        </w:rPr>
        <w:t xml:space="preserve"> no código):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Auditoria</w:t>
      </w:r>
      <w:r>
        <w:rPr>
          <w:rFonts w:ascii="Calibri" w:hAnsi="Calibri"/>
          <w:b w:val="0"/>
          <w:i w:val="0"/>
          <w:sz w:val="22"/>
        </w:rPr>
        <w:t xml:space="preserve"> das operações de escrita — Sprint 2 (AG-23).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Integração com ms.temis.vinculos</w:t>
      </w:r>
      <w:r>
        <w:rPr>
          <w:rFonts w:ascii="Calibri" w:hAnsi="Calibri"/>
          <w:b w:val="0"/>
          <w:i w:val="0"/>
          <w:sz w:val="22"/>
        </w:rPr>
        <w:t xml:space="preserve"> — Sprint 2 (AG-24).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Relatório consolidado</w:t>
      </w:r>
      <w:r>
        <w:rPr>
          <w:rFonts w:ascii="Calibri" w:hAnsi="Calibri"/>
          <w:b w:val="0"/>
          <w:i w:val="0"/>
          <w:sz w:val="22"/>
        </w:rPr>
        <w:t xml:space="preserve"> de grupos — Sprint 3 (AG-25).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API segue o padrão arquitetural do sistema Gerenciador da AASP, utilizando autenticação via JWT Bearer Token e expondo documentação interativa via Swagger/OpenAPI.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Arquitetura da solução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P-AASP01-001_Diagrama-Arquitetu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Diagrama de Arquitetura — ms.auxo.gruposusuarios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Figura 1 — Arquitetura em camadas (API → Service → Repositório/Dapper → SQL Server auxo3).</w:t>
      </w:r>
    </w:p>
    <w:p>
      <w:pPr>
        <w:pStyle w:val="Heading2"/>
        <w:keepNext/>
        <w:keepLines/>
      </w:pPr>
      <w:r>
        <w:t>2.1 Stack tecnologico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Tecnologia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Framework de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ASP.NET Core Web API (.NET 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do projeto Gerenciador AASP; compatibilidade com infraestrutura existente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ORM / Acesso a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 2.x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 GDE-AASP01-001 (GDE-001) — consistência com o padrão de acesso a dados do Gerenciador, controle do SQL sobre o schema legado e performance superior ao EF Core em queries complexas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principal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— banco auxo3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existente do sistema Gerenciador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externa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 — ms.temis.vinculos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Ver ITP-AASP01-001; desacoplamento entre dominios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Bearer Token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do Gerenciador AASP; tokens emitidos pelo serviço de autenticação central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/ OpenAPI (Swashbuckle)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Gerado automaticamente a partir das anotações do código; validado em cada sprint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CI/CD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Timeware; pipeline automatiza build e testes a cada MR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(GitLab) — Git Flow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Timeware; rastreabilidade completa de mudanças por feature e sprint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Diagrama de camadas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Controllers (API)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GerenciarGruposController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rota base: api/gerenciar/grupos (GET/POST)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Services / UseCases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GerenciarGruposServices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Repositories (Dapper Queries)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GerenciarGruposRepositorio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SQL Server -- banco auxo3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grupos_usuarios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grupos_usuarios_vinculos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grupos_usuarios_funcao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(Planejado — Sprint 2) integracao HTTP REST com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ms.temis.vinculos; auditoria das operacoes de escrita.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Descrição das camadas: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Controllers</w:t>
      </w:r>
      <w:r>
        <w:rPr>
          <w:rFonts w:ascii="Calibri" w:hAnsi="Calibri"/>
          <w:b w:val="0"/>
          <w:i w:val="0"/>
          <w:sz w:val="22"/>
        </w:rPr>
        <w:t>: recebem requisições HTTP, validam o modelo de entrada, delegam ao Service e retornam o envelope padronizado (HTTP 200 em sucesso, 400 em erro/validação). Nenhuma lógica de negocio nos controllers.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Services / UseCases</w:t>
      </w:r>
      <w:r>
        <w:rPr>
          <w:rFonts w:ascii="Calibri" w:hAnsi="Calibri"/>
          <w:b w:val="0"/>
          <w:i w:val="0"/>
          <w:sz w:val="22"/>
        </w:rPr>
        <w:t>: contem toda a lógica de negocio — validações de dominio (ex.: unicidade de nome de grupo) e orquestração das chamadas ao repositório.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Repositories</w:t>
      </w:r>
      <w:r>
        <w:rPr>
          <w:rFonts w:ascii="Calibri" w:hAnsi="Calibri"/>
          <w:b w:val="0"/>
          <w:i w:val="0"/>
          <w:sz w:val="22"/>
        </w:rPr>
        <w:t>: encapsulam queries SQL via Dapper, parametrizadas para prevenção de SQL Injection. Sem lógica de negocio.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Banco auxo3</w:t>
      </w:r>
      <w:r>
        <w:rPr>
          <w:rFonts w:ascii="Calibri" w:hAnsi="Calibri"/>
          <w:b w:val="0"/>
          <w:i w:val="0"/>
          <w:sz w:val="22"/>
        </w:rPr>
        <w:t xml:space="preserve">: banco principal do sistema Gerenciador. As operações são sempre escopadas por </w:t>
      </w:r>
      <w:r>
        <w:rPr>
          <w:rFonts w:ascii="Courier New" w:hAnsi="Courier New"/>
          <w:b w:val="0"/>
          <w:i w:val="0"/>
          <w:color w:val="333333"/>
          <w:sz w:val="20"/>
        </w:rPr>
        <w:t>escritorio_id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Modelo de dados (banco auxo3)</w:t>
      </w:r>
    </w:p>
    <w:p>
      <w:pPr>
        <w:pStyle w:val="Heading2"/>
        <w:keepNext/>
        <w:keepLines/>
      </w:pPr>
      <w:r>
        <w:t>3.1 Tabela grupos_usuarios (o 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IDENTITY(1,1),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único do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 do grupo; deve ser único por escritorio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 (tenant) dono do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Estado do grupo (alterado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delete: 1 = excluido logicamente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data_cadastro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de criação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data_alteracao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da última alteração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data_exclusao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da exclusão lógica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Tabela grupos_usuarios_vinculos (membros do 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-&gt; grupos_usuarios.id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ao qual o usuário pertence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 membro do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 (tenant)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funcao_id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Função do usuário no grupo (ver 3.3)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do vinculo (1 ao remover usuário)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Regra:</w:t>
      </w:r>
      <w:r>
        <w:rPr>
          <w:rFonts w:ascii="Calibri" w:hAnsi="Calibri"/>
          <w:b w:val="0"/>
          <w:i w:val="0"/>
          <w:sz w:val="22"/>
        </w:rPr>
        <w:t xml:space="preserve"> os membros são enviados na lista </w:t>
      </w:r>
      <w:r>
        <w:rPr>
          <w:rFonts w:ascii="Courier New" w:hAnsi="Courier New"/>
          <w:b w:val="0"/>
          <w:i w:val="0"/>
          <w:color w:val="333333"/>
          <w:sz w:val="20"/>
        </w:rPr>
        <w:t>GrupoDeUsuarios: [{ id, funcaoId }]</w:t>
      </w:r>
      <w:r>
        <w:rPr>
          <w:rFonts w:ascii="Calibri" w:hAnsi="Calibri"/>
          <w:b w:val="0"/>
          <w:i w:val="0"/>
          <w:sz w:val="22"/>
        </w:rPr>
        <w:t xml:space="preserve"> do payload de </w:t>
      </w:r>
      <w:r>
        <w:rPr>
          <w:rFonts w:ascii="Courier New" w:hAnsi="Courier New"/>
          <w:b w:val="0"/>
          <w:i w:val="0"/>
          <w:color w:val="333333"/>
          <w:sz w:val="20"/>
        </w:rPr>
        <w:t>incluirgrupo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alterargrupo</w:t>
      </w:r>
      <w:r>
        <w:rPr>
          <w:rFonts w:ascii="Calibri" w:hAnsi="Calibri"/>
          <w:b w:val="0"/>
          <w:i w:val="0"/>
          <w:sz w:val="22"/>
        </w:rPr>
        <w:t>. A remoção individual de um membro (</w:t>
      </w:r>
      <w:r>
        <w:rPr>
          <w:rFonts w:ascii="Courier New" w:hAnsi="Courier New"/>
          <w:b w:val="0"/>
          <w:i w:val="0"/>
          <w:color w:val="333333"/>
          <w:sz w:val="20"/>
        </w:rPr>
        <w:t>removerusuario</w:t>
      </w:r>
      <w:r>
        <w:rPr>
          <w:rFonts w:ascii="Calibri" w:hAnsi="Calibri"/>
          <w:b w:val="0"/>
          <w:i w:val="0"/>
          <w:sz w:val="22"/>
        </w:rPr>
        <w:t xml:space="preserve">) marca </w:t>
      </w:r>
      <w:r>
        <w:rPr>
          <w:rFonts w:ascii="Courier New" w:hAnsi="Courier New"/>
          <w:b w:val="0"/>
          <w:i w:val="0"/>
          <w:color w:val="333333"/>
          <w:sz w:val="20"/>
        </w:rPr>
        <w:t>excluido = 1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2"/>
        <w:keepNext/>
        <w:keepLines/>
      </w:pPr>
      <w:r>
        <w:t>3.3 Tabela grupos_usuarios_funcao (função do usuário)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Papel: 0 = Usuario, 1 = Administrador (enum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 (tenant)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Regra: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333333"/>
          <w:sz w:val="20"/>
        </w:rPr>
        <w:t>alterarfuncaodousuario</w:t>
      </w:r>
      <w:r>
        <w:rPr>
          <w:rFonts w:ascii="Calibri" w:hAnsi="Calibri"/>
          <w:b w:val="0"/>
          <w:i w:val="0"/>
          <w:sz w:val="22"/>
        </w:rPr>
        <w:t xml:space="preserve"> altera a função (Usuario/Administrador) de um usuário.</w:t>
      </w:r>
    </w:p>
    <w:p>
      <w:pPr>
        <w:pStyle w:val="Heading2"/>
        <w:keepNext/>
        <w:keepLines/>
      </w:pPr>
      <w:r>
        <w:t>3.4 Auditoria — *(Planejado — Sprint 2, AG-23)*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trilha de auditoria das operações de escrita esta planejada para a Sprint 2 e </w:t>
      </w:r>
      <w:r>
        <w:rPr>
          <w:rFonts w:ascii="Calibri" w:hAnsi="Calibri"/>
          <w:b/>
          <w:i w:val="0"/>
          <w:sz w:val="22"/>
        </w:rPr>
        <w:t>ainda não foi implementada</w:t>
      </w:r>
      <w:r>
        <w:rPr>
          <w:rFonts w:ascii="Calibri" w:hAnsi="Calibri"/>
          <w:b w:val="0"/>
          <w:i w:val="0"/>
          <w:sz w:val="22"/>
        </w:rPr>
        <w:t xml:space="preserve"> no código. O modelo de dados será definido na entrega de AG-23.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Endpoints da API (controller GerenciarGruposController — rota base `api/gerenciar/grupos`)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(AG)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grupos (paginado)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buscargrupoporid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os usuários de um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com nome e lista de membros; nome duplicado -&gt; 400 "Grupo já existe"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grupo e seus membros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Excluir grupo (com opção de notificar membros)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(RF-04)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ativardesativar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Ativar/desativar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removerusuario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Remover um usuário do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 (RF-06)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alterarfuncaodousuario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a função (Usuario/Administrador) de um usuário no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 (RF-05)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!3)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Todos respondem no envelope padrão com HTTP 200 (sucesso) ou 400 (erro/validação). Não há verbos PUT/DELETE nem status 201/204/404/409 nesta API. A inclusão de usuários no grupo ocorre pela lista de membros de </w:t>
      </w:r>
      <w:r>
        <w:rPr>
          <w:rFonts w:ascii="Courier New" w:hAnsi="Courier New"/>
          <w:b w:val="0"/>
          <w:i w:val="0"/>
          <w:color w:val="1A5276"/>
          <w:sz w:val="20"/>
        </w:rPr>
        <w:t>incluirgrupo</w:t>
      </w:r>
      <w:r>
        <w:rPr>
          <w:rFonts w:ascii="Calibri" w:hAnsi="Calibri"/>
          <w:b w:val="0"/>
          <w:i w:val="0"/>
          <w:color w:val="1A5276"/>
          <w:sz w:val="22"/>
        </w:rPr>
        <w:t>/</w:t>
      </w:r>
      <w:r>
        <w:rPr>
          <w:rFonts w:ascii="Courier New" w:hAnsi="Courier New"/>
          <w:b w:val="0"/>
          <w:i w:val="0"/>
          <w:color w:val="1A5276"/>
          <w:sz w:val="20"/>
        </w:rPr>
        <w:t>alterargrupo</w:t>
      </w:r>
      <w:r>
        <w:rPr>
          <w:rFonts w:ascii="Calibri" w:hAnsi="Calibri"/>
          <w:b w:val="0"/>
          <w:i w:val="0"/>
          <w:color w:val="1A5276"/>
          <w:sz w:val="22"/>
        </w:rPr>
        <w:t xml:space="preserve"> (não há endpoint dedicado de "adicionar usuário").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Decisões arquiteturais</w:t>
      </w:r>
    </w:p>
    <w:p>
      <w:pPr>
        <w:pStyle w:val="Heading2"/>
        <w:keepNext/>
        <w:keepLines/>
      </w:pPr>
      <w:r>
        <w:t>GDE-001 — Dapper vs Entity Framework Core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Dapper adotado como ORM para todas as operações de acesso a dados.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Contexto:</w:t>
      </w:r>
      <w:r>
        <w:rPr>
          <w:rFonts w:ascii="Calibri" w:hAnsi="Calibri"/>
          <w:b w:val="0"/>
          <w:i w:val="0"/>
          <w:sz w:val="22"/>
        </w:rPr>
        <w:t xml:space="preserve"> O microsserviço roda em .NET 5. O banco auxo3 possui schema legado, com convenções de nomenclatura que dificultam o mapeamento automático do Entity Framework Core; o Dapper, já adotado como padrão nos demais módulos do Gerenciador AASP, dá controle direto sobre o SQL.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Consequências:</w:t>
      </w:r>
      <w:r>
        <w:rPr>
          <w:rFonts w:ascii="Calibri" w:hAnsi="Calibri"/>
          <w:b w:val="0"/>
          <w:i w:val="0"/>
          <w:sz w:val="22"/>
        </w:rPr>
        <w:t xml:space="preserve"> Queries SQL escritas manualmente nos Repositories, o que aumenta o controle sobre performance mas exige disciplina no uso de queries parametrizadas para prevenção de SQL Injection. Toda query revisada no code review com checklist específico para segurança de dados.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Referência completa:</w:t>
      </w:r>
      <w:r>
        <w:rPr>
          <w:rFonts w:ascii="Calibri" w:hAnsi="Calibri"/>
          <w:b w:val="0"/>
          <w:i w:val="0"/>
          <w:sz w:val="22"/>
        </w:rPr>
        <w:t xml:space="preserve"> GDE-AASP01-001_Registro-de-Análise-de-Decisao.docx</w:t>
      </w:r>
    </w:p>
    <w:p>
      <w:pPr>
        <w:pStyle w:val="Heading2"/>
        <w:keepNext/>
        <w:keepLines/>
      </w:pPr>
      <w:r>
        <w:t>GDE-002 — Soft Delete vs Hard Delete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Soft Delete adotado para grupos e para vinculos usuário-grupo (campo </w:t>
      </w:r>
      <w:r>
        <w:rPr>
          <w:rFonts w:ascii="Courier New" w:hAnsi="Courier New"/>
          <w:b w:val="0"/>
          <w:i w:val="0"/>
          <w:color w:val="333333"/>
          <w:sz w:val="20"/>
        </w:rPr>
        <w:t>excluido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Contexto:</w:t>
      </w:r>
      <w:r>
        <w:rPr>
          <w:rFonts w:ascii="Calibri" w:hAnsi="Calibri"/>
          <w:b w:val="0"/>
          <w:i w:val="0"/>
          <w:sz w:val="22"/>
        </w:rPr>
        <w:t xml:space="preserve"> O sistema Gerenciador AASP precisa manter rastreabilidade historica para fins de auditoria e conformidade.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Consequências:</w:t>
      </w:r>
      <w:r>
        <w:rPr>
          <w:rFonts w:ascii="Calibri" w:hAnsi="Calibri"/>
          <w:b w:val="0"/>
          <w:i w:val="0"/>
          <w:sz w:val="22"/>
        </w:rPr>
        <w:t xml:space="preserve"> Queries de listagem sempre filtram por </w:t>
      </w:r>
      <w:r>
        <w:rPr>
          <w:rFonts w:ascii="Courier New" w:hAnsi="Courier New"/>
          <w:b w:val="0"/>
          <w:i w:val="0"/>
          <w:color w:val="333333"/>
          <w:sz w:val="20"/>
        </w:rPr>
        <w:t>excluido = 0</w:t>
      </w:r>
      <w:r>
        <w:rPr>
          <w:rFonts w:ascii="Calibri" w:hAnsi="Calibri"/>
          <w:b w:val="0"/>
          <w:i w:val="0"/>
          <w:sz w:val="22"/>
        </w:rPr>
        <w:t>. As operações de exclusão retornam HTTP 200 (envelope), confirmando o estado após a operação.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Referência completa:</w:t>
      </w:r>
      <w:r>
        <w:rPr>
          <w:rFonts w:ascii="Calibri" w:hAnsi="Calibri"/>
          <w:b w:val="0"/>
          <w:i w:val="0"/>
          <w:sz w:val="22"/>
        </w:rPr>
        <w:t xml:space="preserve"> GDE-AASP01-001_Registro-de-Análise-de-Decisao.docx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Integração com ms.temis.vinculos — *(Planejado — Sprint 2)*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sincronização de vinculos com o microsserviço </w:t>
      </w:r>
      <w:r>
        <w:rPr>
          <w:rFonts w:ascii="Calibri" w:hAnsi="Calibri"/>
          <w:b/>
          <w:i w:val="0"/>
          <w:sz w:val="22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(banco temis3) esta planejada para a Sprint 2 (AG-24) e </w:t>
      </w:r>
      <w:r>
        <w:rPr>
          <w:rFonts w:ascii="Calibri" w:hAnsi="Calibri"/>
          <w:b/>
          <w:i w:val="0"/>
          <w:sz w:val="22"/>
        </w:rPr>
        <w:t>ainda não foi implementada</w:t>
      </w:r>
      <w:r>
        <w:rPr>
          <w:rFonts w:ascii="Calibri" w:hAnsi="Calibri"/>
          <w:b w:val="0"/>
          <w:i w:val="0"/>
          <w:sz w:val="22"/>
        </w:rPr>
        <w:t xml:space="preserve"> no código. O contrato de integração, os cenários de erro e o procedimento de reconciliação serão especificados no documento </w:t>
      </w:r>
      <w:r>
        <w:rPr>
          <w:rFonts w:ascii="Calibri" w:hAnsi="Calibri"/>
          <w:b/>
          <w:i w:val="0"/>
          <w:sz w:val="22"/>
        </w:rPr>
        <w:t>ITP-AASP01-001_Estrategia-de-Integracao.docx</w:t>
      </w:r>
      <w:r>
        <w:rPr>
          <w:rFonts w:ascii="Calibri" w:hAnsi="Calibri"/>
          <w:b w:val="0"/>
          <w:i w:val="0"/>
          <w:sz w:val="22"/>
        </w:rPr>
        <w:t xml:space="preserve"> quando a implementação iniciar.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inicial — Sprint 1; stack, modelo de dados, endpoints S1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da seção de integração ms.temis.vinculos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alinhado a API e ao schema reais (GerenciarGruposController; tabelas grupos_usuarios, _vinculos, _função); auditoria/integração/relatório marcados como planejados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