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MATRIZ DE RASTREABILIDADE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RASTR-AASP01-001   ·   Versão 1.3   ·   23/06/2026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 xml:space="preserve"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RASTR-AASP01-001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 xml:space="preserve"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AG — Grupos de Usuários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 xml:space="preserve"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 xml:space="preserve">Produto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ms.auxo.gruposusuarios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 xml:space="preserve">Repositório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GitLab · http://191.234.192.153/aasp/ms.auxo.usuarios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 xml:space="preserve">GP / Tech Lead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Abraão (GP) · Cezar Hiraki (TL) — Timeware Brasil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 xml:space="preserve">Desenvolvedores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Renan Kiyoshi, Henry Komatsu, Mateus Veloso — Timeware Brasil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 xml:space="preserve">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Marcos Turnes — 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 xml:space="preserve">QA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Leonardo Francisco Pereira — 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 xml:space="preserve">Data base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26/05/2026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 xml:space="preserve"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1.3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 xml:space="preserve">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Ativo</w:t>
            </w:r>
          </w:p>
        </w:tc>
      </w:tr>
    </w:tbl>
    <w:p>
      <w:pPr>
        <w:spacing w:before="120" w:after="120"/>
      </w:pPr>
    </w:p>
    <w:p>
      <w:pPr>
        <w:pStyle w:val="Heading2"/>
      </w:pPr>
      <w:r>
        <w:rPr>
          <w:rFonts w:ascii="Calibri" w:hAnsi="Calibri"/>
        </w:rPr>
        <w:t>1. Objetivo</w:t>
      </w:r>
    </w:p>
    <w:p>
      <w:pPr>
        <w:spacing w:before="80" w:after="80"/>
      </w:pPr>
      <w:r>
        <w:rPr>
          <w:rFonts w:ascii="Calibri" w:hAnsi="Calibri"/>
          <w:sz w:val="20"/>
        </w:rPr>
        <w:t xml:space="preserve">Registrar a rastreabilidade entre issues do GitLab (AG-XX), requisitos funcionais e não funcionais, endpoints implementados, Merge Requests do GitLab, casos de teste e status de entrega. Este documento evidencia o atributo de rastreabilidade exigido pelo processo GPR e pelo processo de Gerência de Requisitos (GRE) do nível C do MPS.BR, garantindo que cada requisito possa ser rastreado desde sua origem até a entrega verificada. Os endpoints referem-se ao controller real GerenciarGruposController (rota base api/gerenciar/grupos).</w:t>
      </w:r>
    </w:p>
    <w:p>
      <w:pPr>
        <w:pStyle w:val="Heading2"/>
      </w:pPr>
      <w:r>
        <w:rPr>
          <w:rFonts w:ascii="Calibri" w:hAnsi="Calibri"/>
        </w:rPr>
        <w:t>2. Rastreabilidade — Requisitos Funcionais</w:t>
      </w:r>
    </w:p>
    <w:tbl>
      <w:tblPr>
        <w:tblW w:type="auto" w:w="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112"/>
        <w:gridCol w:w="1112"/>
        <w:gridCol w:w="1112"/>
        <w:gridCol w:w="1112"/>
        <w:gridCol w:w="1112"/>
        <w:gridCol w:w="1112"/>
        <w:gridCol w:w="1112"/>
        <w:gridCol w:w="1118"/>
      </w:tblGrid>
      <w:tr>
        <w:trPr>
          <w:tblHeader/>
          <w:cantSplit w:val="1"/>
        </w:trPr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Req. (RF)</w:t>
            </w:r>
          </w:p>
        </w:tc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Issue GitLab</w:t>
            </w:r>
          </w:p>
        </w:tc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Descrição</w:t>
            </w:r>
          </w:p>
        </w:tc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Endpoint(s)</w:t>
            </w:r>
          </w:p>
        </w:tc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MR(s)</w:t>
            </w:r>
          </w:p>
        </w:tc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Casos de Teste</w:t>
            </w:r>
          </w:p>
        </w:tc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Sprint</w:t>
            </w:r>
          </w:p>
        </w:tc>
        <w:tc>
          <w:tcPr>
            <w:tcW w:type="dxa" w:w="1118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Status</w:t>
            </w:r>
          </w:p>
        </w:tc>
      </w:tr>
      <w:tr>
        <w:trPr>
          <w:cantSplit w:val="1"/>
        </w:trPr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RF-01</w:t>
            </w:r>
          </w:p>
        </w:tc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AG-20</w:t>
            </w:r>
          </w:p>
        </w:tc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Criar grupo de usuários</w:t>
            </w:r>
          </w:p>
        </w:tc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POST incluirgrupo</w:t>
            </w:r>
          </w:p>
        </w:tc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MR !1</w:t>
            </w:r>
          </w:p>
        </w:tc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GRP-01, GRP-07</w:t>
            </w:r>
          </w:p>
        </w:tc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S1</w:t>
            </w:r>
          </w:p>
        </w:tc>
        <w:tc>
          <w:tcPr>
            <w:tcW w:type="dxa" w:w="1118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Entregue</w:t>
            </w:r>
          </w:p>
        </w:tc>
      </w:tr>
      <w:tr>
        <w:trPr>
          <w:cantSplit w:val="1"/>
        </w:trPr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RF-02</w:t>
            </w:r>
          </w:p>
        </w:tc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AG-20</w:t>
            </w:r>
          </w:p>
        </w:tc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Listar grupos e consultar usuários do grupo</w:t>
            </w:r>
          </w:p>
        </w:tc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GET listargrupo · GET buscargrupoporid</w:t>
            </w:r>
          </w:p>
        </w:tc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MR !1</w:t>
            </w:r>
          </w:p>
        </w:tc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GRP-02, GRP-03</w:t>
            </w:r>
          </w:p>
        </w:tc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S1</w:t>
            </w:r>
          </w:p>
        </w:tc>
        <w:tc>
          <w:tcPr>
            <w:tcW w:type="dxa" w:w="111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Entregue</w:t>
            </w:r>
          </w:p>
        </w:tc>
      </w:tr>
      <w:tr>
        <w:trPr>
          <w:cantSplit w:val="1"/>
        </w:trPr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RF-03</w:t>
            </w:r>
          </w:p>
        </w:tc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AG-20</w:t>
            </w:r>
          </w:p>
        </w:tc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Alterar grupo e ativar/desativar</w:t>
            </w:r>
          </w:p>
        </w:tc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POST alterargrupo · POST ativardesativar</w:t>
            </w:r>
          </w:p>
        </w:tc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MR !2</w:t>
            </w:r>
          </w:p>
        </w:tc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GRP-04, GRP-06</w:t>
            </w:r>
          </w:p>
        </w:tc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S1</w:t>
            </w:r>
          </w:p>
        </w:tc>
        <w:tc>
          <w:tcPr>
            <w:tcW w:type="dxa" w:w="1118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Entregue</w:t>
            </w:r>
          </w:p>
        </w:tc>
      </w:tr>
      <w:tr>
        <w:trPr>
          <w:cantSplit w:val="1"/>
        </w:trPr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RF-04</w:t>
            </w:r>
          </w:p>
        </w:tc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AG-20</w:t>
            </w:r>
          </w:p>
        </w:tc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Excluir grupo (com notificação opcional)</w:t>
            </w:r>
          </w:p>
        </w:tc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POST excluirgrupo</w:t>
            </w:r>
          </w:p>
        </w:tc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MR !2</w:t>
            </w:r>
          </w:p>
        </w:tc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GRP-05</w:t>
            </w:r>
          </w:p>
        </w:tc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S1</w:t>
            </w:r>
          </w:p>
        </w:tc>
        <w:tc>
          <w:tcPr>
            <w:tcW w:type="dxa" w:w="111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Entregue</w:t>
            </w:r>
          </w:p>
        </w:tc>
      </w:tr>
      <w:tr>
        <w:trPr>
          <w:cantSplit w:val="1"/>
        </w:trPr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RF-05</w:t>
            </w:r>
          </w:p>
        </w:tc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AG-21</w:t>
            </w:r>
          </w:p>
        </w:tc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Definir função do usuário no grupo (Usuario/Administrador)</w:t>
            </w:r>
          </w:p>
        </w:tc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POST alterarfuncaodousuario</w:t>
            </w:r>
          </w:p>
        </w:tc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MR !3</w:t>
            </w:r>
          </w:p>
        </w:tc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FUNC-01</w:t>
            </w:r>
          </w:p>
        </w:tc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S1</w:t>
            </w:r>
          </w:p>
        </w:tc>
        <w:tc>
          <w:tcPr>
            <w:tcW w:type="dxa" w:w="1118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Entregue</w:t>
            </w:r>
          </w:p>
        </w:tc>
      </w:tr>
      <w:tr>
        <w:trPr>
          <w:cantSplit w:val="1"/>
        </w:trPr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RF-06</w:t>
            </w:r>
          </w:p>
        </w:tc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AG-22</w:t>
            </w:r>
          </w:p>
        </w:tc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Vincular usuário (lista de membros) e remover usuário do grupo</w:t>
            </w:r>
          </w:p>
        </w:tc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POST incluirgrupo/alterargrupo (GrupoDeUsuarios) · POST removerusuario</w:t>
            </w:r>
          </w:p>
        </w:tc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MR !4, MR !5</w:t>
            </w:r>
          </w:p>
        </w:tc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VINC-01, VINC-02</w:t>
            </w:r>
          </w:p>
        </w:tc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S1</w:t>
            </w:r>
          </w:p>
        </w:tc>
        <w:tc>
          <w:tcPr>
            <w:tcW w:type="dxa" w:w="111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Entregue</w:t>
            </w:r>
          </w:p>
        </w:tc>
      </w:tr>
      <w:tr>
        <w:trPr>
          <w:cantSplit w:val="1"/>
        </w:trPr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RF-07</w:t>
            </w:r>
          </w:p>
        </w:tc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AG-23</w:t>
            </w:r>
          </w:p>
        </w:tc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Registrar auditoria de ações em AuditoriaGrupos</w:t>
            </w:r>
          </w:p>
        </w:tc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(planejado — não implementado)</w:t>
            </w:r>
          </w:p>
        </w:tc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MR pendente</w:t>
            </w:r>
          </w:p>
        </w:tc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AUD-01</w:t>
            </w:r>
          </w:p>
        </w:tc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S2</w:t>
            </w:r>
          </w:p>
        </w:tc>
        <w:tc>
          <w:tcPr>
            <w:tcW w:type="dxa" w:w="1118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Em andamento</w:t>
            </w:r>
          </w:p>
        </w:tc>
      </w:tr>
      <w:tr>
        <w:trPr>
          <w:cantSplit w:val="1"/>
        </w:trPr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RF-08</w:t>
            </w:r>
          </w:p>
        </w:tc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AG-24</w:t>
            </w:r>
          </w:p>
        </w:tc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Integrar com ms.temis.vinculos</w:t>
            </w:r>
          </w:p>
        </w:tc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(planejado — não implementado)</w:t>
            </w:r>
          </w:p>
        </w:tc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MR pendente</w:t>
            </w:r>
          </w:p>
        </w:tc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INT-01</w:t>
            </w:r>
          </w:p>
        </w:tc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S2</w:t>
            </w:r>
          </w:p>
        </w:tc>
        <w:tc>
          <w:tcPr>
            <w:tcW w:type="dxa" w:w="111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Em andamento</w:t>
            </w:r>
          </w:p>
        </w:tc>
      </w:tr>
      <w:tr>
        <w:trPr>
          <w:cantSplit w:val="1"/>
        </w:trPr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RF-09</w:t>
            </w:r>
          </w:p>
        </w:tc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AG-25</w:t>
            </w:r>
          </w:p>
        </w:tc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Gerar relatório consolidado de grupos</w:t>
            </w:r>
          </w:p>
        </w:tc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(planejado — não implementado)</w:t>
            </w:r>
          </w:p>
        </w:tc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MR pendente</w:t>
            </w:r>
          </w:p>
        </w:tc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REL-01</w:t>
            </w:r>
          </w:p>
        </w:tc>
        <w:tc>
          <w:tcPr>
            <w:tcW w:type="dxa" w:w="111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S3</w:t>
            </w:r>
          </w:p>
        </w:tc>
        <w:tc>
          <w:tcPr>
            <w:tcW w:type="dxa" w:w="1118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Planejado</w:t>
            </w:r>
          </w:p>
        </w:tc>
      </w:tr>
    </w:tbl>
    <w:p>
      <w:pPr>
        <w:pStyle w:val="Heading3"/>
      </w:pPr>
      <w:r>
        <w:rPr>
          <w:rFonts w:ascii="Calibri" w:hAnsi="Calibri"/>
        </w:rPr>
        <w:t>2.1 Rastreabilidade — Requisitos Não Funcionais</w:t>
      </w:r>
    </w:p>
    <w:tbl>
      <w:tblPr>
        <w:tblW w:type="auto" w:w="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271"/>
        <w:gridCol w:w="1271"/>
        <w:gridCol w:w="1271"/>
        <w:gridCol w:w="1271"/>
        <w:gridCol w:w="1271"/>
        <w:gridCol w:w="1271"/>
        <w:gridCol w:w="1276"/>
      </w:tblGrid>
      <w:tr>
        <w:trPr>
          <w:tblHeader/>
          <w:cantSplit w:val="1"/>
        </w:trPr>
        <w:tc>
          <w:tcPr>
            <w:tcW w:type="dxa" w:w="127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Req. (RNF)</w:t>
            </w:r>
          </w:p>
        </w:tc>
        <w:tc>
          <w:tcPr>
            <w:tcW w:type="dxa" w:w="127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Descrição</w:t>
            </w:r>
          </w:p>
        </w:tc>
        <w:tc>
          <w:tcPr>
            <w:tcW w:type="dxa" w:w="127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Escopo</w:t>
            </w:r>
          </w:p>
        </w:tc>
        <w:tc>
          <w:tcPr>
            <w:tcW w:type="dxa" w:w="127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MR(s)</w:t>
            </w:r>
          </w:p>
        </w:tc>
        <w:tc>
          <w:tcPr>
            <w:tcW w:type="dxa" w:w="127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Sprint</w:t>
            </w:r>
          </w:p>
        </w:tc>
        <w:tc>
          <w:tcPr>
            <w:tcW w:type="dxa" w:w="127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Caso de Teste / Validação</w:t>
            </w:r>
          </w:p>
        </w:tc>
        <w:tc>
          <w:tcPr>
            <w:tcW w:type="dxa" w:w="1276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Status</w:t>
            </w:r>
          </w:p>
        </w:tc>
      </w:tr>
      <w:tr>
        <w:trPr>
          <w:cantSplit w:val="1"/>
        </w:trPr>
        <w:tc>
          <w:tcPr>
            <w:tcW w:type="dxa" w:w="127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RNF-01</w:t>
            </w:r>
          </w:p>
        </w:tc>
        <w:tc>
          <w:tcPr>
            <w:tcW w:type="dxa" w:w="127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Tempo de resposta &lt;= 500 ms em condições normais de carga</w:t>
            </w:r>
          </w:p>
        </w:tc>
        <w:tc>
          <w:tcPr>
            <w:tcW w:type="dxa" w:w="127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Todos os endpoints</w:t>
            </w:r>
          </w:p>
        </w:tc>
        <w:tc>
          <w:tcPr>
            <w:tcW w:type="dxa" w:w="127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—</w:t>
            </w:r>
          </w:p>
        </w:tc>
        <w:tc>
          <w:tcPr>
            <w:tcW w:type="dxa" w:w="127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S1–S3</w:t>
            </w:r>
          </w:p>
        </w:tc>
        <w:tc>
          <w:tcPr>
            <w:tcW w:type="dxa" w:w="127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Validado via Swagger/testes de performance (resultado obtido: &lt;= 280 ms)</w:t>
            </w:r>
          </w:p>
        </w:tc>
        <w:tc>
          <w:tcPr>
            <w:tcW w:type="dxa" w:w="1276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Validado</w:t>
            </w:r>
          </w:p>
        </w:tc>
      </w:tr>
      <w:tr>
        <w:trPr>
          <w:cantSplit w:val="1"/>
        </w:trPr>
        <w:tc>
          <w:tcPr>
            <w:tcW w:type="dxa" w:w="1271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RNF-02</w:t>
            </w:r>
          </w:p>
        </w:tc>
        <w:tc>
          <w:tcPr>
            <w:tcW w:type="dxa" w:w="1271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Autenticação e autorização via JWT Bearer Token</w:t>
            </w:r>
          </w:p>
        </w:tc>
        <w:tc>
          <w:tcPr>
            <w:tcW w:type="dxa" w:w="1271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Todos os endpoints</w:t>
            </w:r>
          </w:p>
        </w:tc>
        <w:tc>
          <w:tcPr>
            <w:tcW w:type="dxa" w:w="1271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MR !1</w:t>
            </w:r>
          </w:p>
        </w:tc>
        <w:tc>
          <w:tcPr>
            <w:tcW w:type="dxa" w:w="1271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S1</w:t>
            </w:r>
          </w:p>
        </w:tc>
        <w:tc>
          <w:tcPr>
            <w:tcW w:type="dxa" w:w="1271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Validado em code review e testes de sistema (Swagger)</w:t>
            </w:r>
          </w:p>
        </w:tc>
        <w:tc>
          <w:tcPr>
            <w:tcW w:type="dxa" w:w="127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Validado</w:t>
            </w:r>
          </w:p>
        </w:tc>
      </w:tr>
      <w:tr>
        <w:trPr>
          <w:cantSplit w:val="1"/>
        </w:trPr>
        <w:tc>
          <w:tcPr>
            <w:tcW w:type="dxa" w:w="127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RNF-03</w:t>
            </w:r>
          </w:p>
        </w:tc>
        <w:tc>
          <w:tcPr>
            <w:tcW w:type="dxa" w:w="127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Rastreabilidade de ações via auditoria (AuditoriaGrupos)</w:t>
            </w:r>
          </w:p>
        </w:tc>
        <w:tc>
          <w:tcPr>
            <w:tcW w:type="dxa" w:w="127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Operações de escrita</w:t>
            </w:r>
          </w:p>
        </w:tc>
        <w:tc>
          <w:tcPr>
            <w:tcW w:type="dxa" w:w="127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MR pendente</w:t>
            </w:r>
          </w:p>
        </w:tc>
        <w:tc>
          <w:tcPr>
            <w:tcW w:type="dxa" w:w="127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S2</w:t>
            </w:r>
          </w:p>
        </w:tc>
        <w:tc>
          <w:tcPr>
            <w:tcW w:type="dxa" w:w="127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AUD-01 — planejado para Sprint 2 (AG-23)</w:t>
            </w:r>
          </w:p>
        </w:tc>
        <w:tc>
          <w:tcPr>
            <w:tcW w:type="dxa" w:w="1276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Pendente</w:t>
            </w:r>
          </w:p>
        </w:tc>
      </w:tr>
    </w:tbl>
    <w:p>
      <w:pPr>
        <w:pStyle w:val="Heading2"/>
      </w:pPr>
      <w:r>
        <w:rPr>
          <w:rFonts w:ascii="Calibri" w:hAnsi="Calibri"/>
        </w:rPr>
        <w:t>3. Cobertura por Sprint</w:t>
      </w:r>
    </w:p>
    <w:tbl>
      <w:tblPr>
        <w:tblW w:type="auto" w:w="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483"/>
        <w:gridCol w:w="1483"/>
        <w:gridCol w:w="1483"/>
        <w:gridCol w:w="1483"/>
        <w:gridCol w:w="1483"/>
        <w:gridCol w:w="1487"/>
      </w:tblGrid>
      <w:tr>
        <w:trPr>
          <w:tblHeader/>
          <w:cantSplit w:val="1"/>
        </w:trPr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Sprint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Período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RFs Cobertos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Casos de Teste Executados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Aprovados</w:t>
            </w:r>
          </w:p>
        </w:tc>
        <w:tc>
          <w:tcPr>
            <w:tcW w:type="dxa" w:w="148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Status</w:t>
            </w:r>
          </w:p>
        </w:tc>
      </w:tr>
      <w:tr>
        <w:trPr>
          <w:cantSplit w:val="1"/>
        </w:trPr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S1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26/05–06/06/2026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RF-01, RF-02, RF-03, RF-04, RF-05, RF-06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10 (GRP-01 a GRP-07, FUNC-01, VINC-01, VINC-02)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10/10 (100%)</w:t>
            </w:r>
          </w:p>
        </w:tc>
        <w:tc>
          <w:tcPr>
            <w:tcW w:type="dxa" w:w="148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Aceite formal 06/06/2026</w:t>
            </w:r>
          </w:p>
        </w:tc>
      </w:tr>
      <w:tr>
        <w:trPr>
          <w:cantSplit w:val="1"/>
        </w:trPr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S2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09/06–20/06/2026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RF-07, RF-08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AUD-01, INT-01 (planejados)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—</w:t>
            </w:r>
          </w:p>
        </w:tc>
        <w:tc>
          <w:tcPr>
            <w:tcW w:type="dxa" w:w="148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Em andamento</w:t>
            </w:r>
          </w:p>
        </w:tc>
      </w:tr>
      <w:tr>
        <w:trPr>
          <w:cantSplit w:val="1"/>
        </w:trPr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S3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23/06–04/07/2026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RF-09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REL-01 (planejado)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—</w:t>
            </w:r>
          </w:p>
        </w:tc>
        <w:tc>
          <w:tcPr>
            <w:tcW w:type="dxa" w:w="148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Planejado</w:t>
            </w:r>
          </w:p>
        </w:tc>
      </w:tr>
    </w:tbl>
    <w:p>
      <w:pPr>
        <w:spacing w:before="120" w:after="80"/>
        <w:jc w:val="center"/>
      </w:pPr>
      <w:r>
        <w:drawing>
          <wp:inline xmlns:wp="http://schemas.openxmlformats.org/drawingml/2006/wordprocessingDrawing" distT="0" distB="0" distL="0" distR="0">
            <wp:extent cx="5715000" cy="2561587"/>
            <wp:effectExtent l="0" t="0" r="0" b="0"/>
            <wp:docPr id="1" name="issues" descr="issu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ssues" descr="issues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_img_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6158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Calibri" w:hAnsi="Calibri"/>
          <w:i/>
          <w:color w:val="555555"/>
          <w:sz w:val="18"/>
        </w:rPr>
        <w:t>Figura 1 — GitLab Issues Board — AG-20 a AG-25</w:t>
      </w:r>
    </w:p>
    <w:p>
      <w:pPr>
        <w:spacing w:before="120" w:after="120"/>
      </w:pPr>
    </w:p>
    <w:p>
      <w:pPr>
        <w:pStyle w:val="Heading2"/>
      </w:pPr>
      <w:r>
        <w:rPr>
          <w:rFonts w:ascii="Calibri" w:hAnsi="Calibri"/>
        </w:rPr>
        <w:t>4. Itens Rastreados sem Cobertura de Teste Concluída</w:t>
      </w:r>
    </w:p>
    <w:p>
      <w:pPr>
        <w:spacing w:before="80" w:after="80"/>
      </w:pPr>
      <w:r>
        <w:rPr>
          <w:rFonts w:ascii="Calibri" w:hAnsi="Calibri"/>
          <w:sz w:val="20"/>
        </w:rPr>
        <w:t xml:space="preserve">Os itens abaixo possuem requisito definido e rastreabilidade registrada, mas ainda não possuem casos de teste executados e aprovados, pois estão em sprints em andamento ou futuras e ainda não foram implementados no código.</w:t>
      </w:r>
    </w:p>
    <w:tbl>
      <w:tblPr>
        <w:tblW w:type="auto" w:w="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780"/>
        <w:gridCol w:w="1780"/>
        <w:gridCol w:w="1780"/>
        <w:gridCol w:w="1780"/>
        <w:gridCol w:w="1782"/>
      </w:tblGrid>
      <w:tr>
        <w:trPr>
          <w:tblHeader/>
          <w:cantSplit w:val="1"/>
        </w:trPr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História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Requisito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Caso de Teste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Motivo da Pendência</w:t>
            </w:r>
          </w:p>
        </w:tc>
        <w:tc>
          <w:tcPr>
            <w:tcW w:type="dxa" w:w="178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Sprint Prevista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AG-23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RF-07 (Auditoria)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AUD-01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Em desenvolvimento na Sprint 2; ainda não implementado no código</w:t>
            </w:r>
          </w:p>
        </w:tc>
        <w:tc>
          <w:tcPr>
            <w:tcW w:type="dxa" w:w="178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S2 (09/06–20/06/2026)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AG-24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RF-08 (Integração ms.temis)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INT-01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Em desenvolvimento na Sprint 2; integração ainda não implementada</w:t>
            </w:r>
          </w:p>
        </w:tc>
        <w:tc>
          <w:tcPr>
            <w:tcW w:type="dxa" w:w="178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S2 (09/06–20/06/2026)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AG-25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RF-09 (Relatório consolidado)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REL-01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Escopo planejado para S3; ainda não implementado</w:t>
            </w:r>
          </w:p>
        </w:tc>
        <w:tc>
          <w:tcPr>
            <w:tcW w:type="dxa" w:w="178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S3 (23/06–04/07/2026)</w:t>
            </w:r>
          </w:p>
        </w:tc>
      </w:tr>
    </w:tbl>
    <w:p>
      <w:pPr>
        <w:pStyle w:val="Heading2"/>
      </w:pPr>
      <w:r>
        <w:rPr>
          <w:rFonts w:ascii="Calibri" w:hAnsi="Calibri"/>
        </w:rPr>
        <w:t>5. Resumo de Cobertura</w:t>
      </w:r>
    </w:p>
    <w:p>
      <w:pPr>
        <w:pStyle w:val="ListParagraph"/>
        <w:numPr>
          <w:ilvl w:val="0"/>
          <w:numId w:val="1"/>
        </w:numPr>
        <w:ind w:left="720" w:hanging="360"/>
      </w:pPr>
      <w:r>
        <w:rPr>
          <w:rFonts w:ascii="Calibri" w:hAnsi="Calibri"/>
          <w:sz w:val="20"/>
        </w:rPr>
        <w:t xml:space="preserve">Requisitos funcionais entregues: 6 de 9 (67%) — RF-01 a RF-06 com aceite formal em S1</w:t>
      </w:r>
    </w:p>
    <w:p>
      <w:pPr>
        <w:pStyle w:val="ListParagraph"/>
        <w:numPr>
          <w:ilvl w:val="0"/>
          <w:numId w:val="1"/>
        </w:numPr>
        <w:ind w:left="720" w:hanging="360"/>
      </w:pPr>
      <w:r>
        <w:rPr>
          <w:rFonts w:ascii="Calibri" w:hAnsi="Calibri"/>
          <w:sz w:val="20"/>
        </w:rPr>
        <w:t xml:space="preserve">Requisitos funcionais em execução: 2 de 9 (22%) — RF-07 e RF-08 em andamento na S2</w:t>
      </w:r>
    </w:p>
    <w:p>
      <w:pPr>
        <w:pStyle w:val="ListParagraph"/>
        <w:numPr>
          <w:ilvl w:val="0"/>
          <w:numId w:val="1"/>
        </w:numPr>
        <w:ind w:left="720" w:hanging="360"/>
      </w:pPr>
      <w:r>
        <w:rPr>
          <w:rFonts w:ascii="Calibri" w:hAnsi="Calibri"/>
          <w:sz w:val="20"/>
        </w:rPr>
        <w:t xml:space="preserve">Requisitos funcionais planejados: 1 de 9 (11%) — RF-09 previsto para S3</w:t>
      </w:r>
    </w:p>
    <w:p>
      <w:pPr>
        <w:pStyle w:val="ListParagraph"/>
        <w:numPr>
          <w:ilvl w:val="0"/>
          <w:numId w:val="1"/>
        </w:numPr>
        <w:ind w:left="720" w:hanging="360"/>
      </w:pPr>
      <w:r>
        <w:rPr>
          <w:rFonts w:ascii="Calibri" w:hAnsi="Calibri"/>
          <w:sz w:val="20"/>
        </w:rPr>
        <w:t xml:space="preserve">Requisitos não funcionais validados: 2 de 3 (67%) — RNF-01 e RNF-02 validados em S1</w:t>
      </w:r>
    </w:p>
    <w:p>
      <w:pPr>
        <w:pStyle w:val="ListParagraph"/>
        <w:numPr>
          <w:ilvl w:val="0"/>
          <w:numId w:val="1"/>
        </w:numPr>
        <w:ind w:left="720" w:hanging="360"/>
      </w:pPr>
      <w:r>
        <w:rPr>
          <w:rFonts w:ascii="Calibri" w:hAnsi="Calibri"/>
          <w:sz w:val="20"/>
        </w:rPr>
        <w:t xml:space="preserve">Requisitos não funcionais pendentes: 1 de 3 (33%) — RNF-03 depende da conclusão de AG-23 (S2)</w:t>
      </w:r>
    </w:p>
    <w:p>
      <w:pPr>
        <w:pStyle w:val="ListParagraph"/>
        <w:numPr>
          <w:ilvl w:val="0"/>
          <w:numId w:val="1"/>
        </w:numPr>
        <w:ind w:left="720" w:hanging="360"/>
      </w:pPr>
      <w:r>
        <w:rPr>
          <w:rFonts w:ascii="Calibri" w:hAnsi="Calibri"/>
          <w:sz w:val="20"/>
        </w:rPr>
        <w:t xml:space="preserve">Casos de teste Sprint 1: 10 de 10 (100%) aprovados por Leonardo Francisco Pereira (AASP)</w:t>
      </w:r>
    </w:p>
    <w:p>
      <w:pPr>
        <w:pStyle w:val="ListParagraph"/>
        <w:numPr>
          <w:ilvl w:val="0"/>
          <w:numId w:val="1"/>
        </w:numPr>
        <w:ind w:left="720" w:hanging="360"/>
      </w:pPr>
      <w:r>
        <w:rPr>
          <w:rFonts w:ascii="Calibri" w:hAnsi="Calibri"/>
          <w:sz w:val="20"/>
        </w:rPr>
        <w:t xml:space="preserve">Rastreabilidade req → teste: 100% para todos os requisitos entregues até S1</w:t>
      </w:r>
    </w:p>
    <w:p>
      <w:pPr>
        <w:pStyle w:val="ListParagraph"/>
        <w:numPr>
          <w:ilvl w:val="0"/>
          <w:numId w:val="1"/>
        </w:numPr>
        <w:ind w:left="720" w:hanging="360"/>
      </w:pPr>
      <w:r>
        <w:rPr>
          <w:rFonts w:ascii="Calibri" w:hAnsi="Calibri"/>
          <w:sz w:val="20"/>
        </w:rPr>
        <w:t xml:space="preserve">Rastreabilidade req → MR: 100% para requisitos entregues (MRs !1, !2, !3, !4, !5)</w:t>
      </w:r>
    </w:p>
    <w:p>
      <w:pPr>
        <w:pStyle w:val="Heading2"/>
      </w:pPr>
      <w:r>
        <w:rPr>
          <w:rFonts w:ascii="Calibri" w:hAnsi="Calibri"/>
        </w:rPr>
        <w:t>Histórico de Revisões</w:t>
      </w:r>
    </w:p>
    <w:tbl>
      <w:tblPr>
        <w:tblW w:type="auto" w:w="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200"/>
        <w:gridCol w:w="1400"/>
        <w:gridCol w:w="1800"/>
        <w:gridCol w:w="4502"/>
      </w:tblGrid>
      <w:tr>
        <w:trPr>
          <w:tblHeader/>
          <w:cantSplit w:val="1"/>
        </w:trPr>
        <w:tc>
          <w:tcPr>
            <w:tcW w:type="dxa" w:w="120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Versão</w:t>
            </w:r>
          </w:p>
        </w:tc>
        <w:tc>
          <w:tcPr>
            <w:tcW w:type="dxa" w:w="140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Data</w:t>
            </w:r>
          </w:p>
        </w:tc>
        <w:tc>
          <w:tcPr>
            <w:tcW w:type="dxa" w:w="180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Autor</w:t>
            </w:r>
          </w:p>
        </w:tc>
        <w:tc>
          <w:tcPr>
            <w:tcW w:type="dxa" w:w="450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Descrição</w:t>
            </w:r>
          </w:p>
        </w:tc>
      </w:tr>
      <w:tr>
        <w:trPr>
          <w:cantSplit w:val="1"/>
        </w:trPr>
        <w:tc>
          <w:tcPr>
            <w:tcW w:type="dxa" w:w="120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1.0</w:t>
            </w:r>
          </w:p>
        </w:tc>
        <w:tc>
          <w:tcPr>
            <w:tcW w:type="dxa" w:w="140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26/05/2026</w:t>
            </w:r>
          </w:p>
        </w:tc>
        <w:tc>
          <w:tcPr>
            <w:tcW w:type="dxa" w:w="180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Abraão</w:t>
            </w:r>
          </w:p>
        </w:tc>
        <w:tc>
          <w:tcPr>
            <w:tcW w:type="dxa" w:w="450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Versão inicial — estrutura da matriz com requisitos RF-01 a RF-09 e RNF-01 a RNF-03</w:t>
            </w:r>
          </w:p>
        </w:tc>
      </w:tr>
      <w:tr>
        <w:trPr>
          <w:cantSplit w:val="1"/>
        </w:trPr>
        <w:tc>
          <w:tcPr>
            <w:tcW w:type="dxa" w:w="120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1.1</w:t>
            </w:r>
          </w:p>
        </w:tc>
        <w:tc>
          <w:tcPr>
            <w:tcW w:type="dxa" w:w="140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09/06/2026</w:t>
            </w:r>
          </w:p>
        </w:tc>
        <w:tc>
          <w:tcPr>
            <w:tcW w:type="dxa" w:w="180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Abraão</w:t>
            </w:r>
          </w:p>
        </w:tc>
        <w:tc>
          <w:tcPr>
            <w:tcW w:type="dxa" w:w="450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Atualizado pós-Sprint 1: MRs !1 a !5 registrados, status de entrega e resultados dos casos de teste incorporados</w:t>
            </w:r>
          </w:p>
        </w:tc>
      </w:tr>
      <w:tr>
        <w:trPr>
          <w:cantSplit w:val="1"/>
        </w:trPr>
        <w:tc>
          <w:tcPr>
            <w:tcW w:type="dxa" w:w="120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1.2</w:t>
            </w:r>
          </w:p>
        </w:tc>
        <w:tc>
          <w:tcPr>
            <w:tcW w:type="dxa" w:w="140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15/06/2026</w:t>
            </w:r>
          </w:p>
        </w:tc>
        <w:tc>
          <w:tcPr>
            <w:tcW w:type="dxa" w:w="180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Abraão</w:t>
            </w:r>
          </w:p>
        </w:tc>
        <w:tc>
          <w:tcPr>
            <w:tcW w:type="dxa" w:w="450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Endpoints, casos de teste e cobertura alinhados à API real (GerenciarGruposController)</w:t>
            </w:r>
          </w:p>
        </w:tc>
      </w:tr>
      <w:tr>
        <w:trPr>
          <w:cantSplit w:val="1"/>
        </w:trPr>
        <w:tc>
          <w:tcPr>
            <w:tcW w:type="dxa" w:w="120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1.3</w:t>
            </w:r>
          </w:p>
        </w:tc>
        <w:tc>
          <w:tcPr>
            <w:tcW w:type="dxa" w:w="140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23/06/2026</w:t>
            </w:r>
          </w:p>
        </w:tc>
        <w:tc>
          <w:tcPr>
            <w:tcW w:type="dxa" w:w="180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Abraão</w:t>
            </w:r>
          </w:p>
        </w:tc>
        <w:tc>
          <w:tcPr>
            <w:tcW w:type="dxa" w:w="450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Referências a "Jira" substituídas por "GitLab Issues"; referência a testes de integração corrigida para testes de sistema</w:t>
            </w:r>
          </w:p>
        </w:tc>
      </w:tr>
    </w:tbl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v1.3  ·  23/06/2026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v1.3  ·  23/06/2026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RASTR-AASP01-001</w:t>
    </w:r>
    <w:r>
      <w:tab/>
    </w:r>
    <w:r>
      <w:rPr>
        <w:rFonts w:ascii="Calibri" w:hAnsi="Calibri"/>
        <w:color w:val="555555"/>
        <w:sz w:val="18"/>
      </w:rPr>
      <w:t>Gerência de Requisitos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_img_1" Type="http://schemas.openxmlformats.org/officeDocument/2006/relationships/image" Target="media/img_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