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VV-AASP01-001   ·   Versão 1.2   ·   23/06/2026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 / VAL — Verificação e Validação (evidência de projeto)</w:t>
            </w:r>
          </w:p>
        </w:tc>
      </w:tr>
    </w:tbl>
    <w:p>
      <w:pPr>
        <w:spacing w:before="120" w:after="120"/>
      </w:pPr>
    </w:p>
    <w:p>
      <w:pPr>
        <w:pStyle w:val="Heading2"/>
      </w:pPr>
      <w:r>
        <w:rPr>
          <w:rFonts w:ascii="Calibri" w:hAnsi="Calibri"/>
        </w:rPr>
        <w:t>1. Objetivo</w:t>
      </w:r>
    </w:p>
    <w:p>
      <w:pPr>
        <w:pStyle w:val="Normal"/>
      </w:pPr>
      <w:r>
        <w:rPr>
          <w:rFonts w:ascii="Calibri" w:hAnsi="Calibri"/>
          <w:sz w:val="20"/>
        </w:rPr>
        <w:t xml:space="preserve">Definir a estratégia e as atividades de Verificação e Validação (V&amp;V) do microserviço ms.auxo.gruposusuarios, garantindo que o produto: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Verificação: atende aos requisitos especificados nos documentos REQ-AASP01-001 e PCP-AASP01-001 (design técnico)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Validação: atende as necessidades reais do negócio AASP, conforme acordado com o Product Owner Marcos Turnes e validado por Leonardo Francisco Pereira</w:t>
      </w:r>
    </w:p>
    <w:p>
      <w:pPr>
        <w:pStyle w:val="Normal"/>
      </w:pPr>
      <w:r>
        <w:rPr>
          <w:rFonts w:ascii="Calibri" w:hAnsi="Calibri"/>
          <w:sz w:val="20"/>
        </w:rPr>
        <w:t xml:space="preserve">Este plano é aplicado a todos os sprints do projeto (S1 a S3) e constitui evidência obrigatória dos processos VER e VAL do MPS-SW nível C.</w:t>
      </w:r>
    </w:p>
    <w:p>
      <w:pPr>
        <w:pStyle w:val="Heading2"/>
      </w:pPr>
      <w:r>
        <w:rPr>
          <w:rFonts w:ascii="Calibri" w:hAnsi="Calibri"/>
        </w:rPr>
        <w:t>2. Escopo do Plano</w:t>
      </w:r>
    </w:p>
    <w:p>
      <w:pPr>
        <w:pStyle w:val="Normal"/>
      </w:pPr>
      <w:r>
        <w:rPr>
          <w:rFonts w:ascii="Calibri" w:hAnsi="Calibri"/>
          <w:sz w:val="20"/>
        </w:rPr>
        <w:t xml:space="preserve">Este documento cobre todas as atividades de V&amp;V desde: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Code review técnico (peer review) em Merge Requests no GitLab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Testes de sistema via Swagger UI e Postman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Testes de homologação (UAT) executados por Leonardo Francisco Pereira em ambiente AASP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Aceite formal por sprint realizado por Marcos Turnes</w:t>
      </w:r>
    </w:p>
    <w:p>
      <w:pPr>
        <w:ind w:left="720"/>
      </w:pPr>
      <w:r>
        <w:rPr>
          <w:rFonts w:ascii="Calibri" w:hAnsi="Calibri"/>
          <w:i/>
          <w:color w:val="555555"/>
          <w:sz w:val="20"/>
        </w:rPr>
        <w:t xml:space="preserve">Nota: Testes unitários e de integração automatizados não se aplicam a este projeto — o projeto não possui testes automatizados.</w:t>
      </w:r>
    </w:p>
    <w:p>
      <w:pPr>
        <w:pStyle w:val="Normal"/>
      </w:pPr>
      <w:r>
        <w:rPr>
          <w:rFonts w:ascii="Calibri" w:hAnsi="Calibri"/>
          <w:sz w:val="20"/>
        </w:rPr>
        <w:t xml:space="preserve">O escopo funcional cobre todos os requisitos funcionais AG-20 a AG-25 definidos em REQ-AASP01-001, distribuídos nas sprints S1 a S3.</w:t>
      </w:r>
    </w:p>
    <w:p>
      <w:pPr>
        <w:pStyle w:val="Heading2"/>
      </w:pPr>
      <w:r>
        <w:rPr>
          <w:rFonts w:ascii="Calibri" w:hAnsi="Calibri"/>
        </w:rPr>
        <w:t>3. Estratégia de Verificação e Validação</w:t>
      </w:r>
    </w:p>
    <w:p>
      <w:pPr>
        <w:pStyle w:val="Heading3"/>
      </w:pPr>
      <w:r>
        <w:rPr>
          <w:rFonts w:ascii="Calibri" w:hAnsi="Calibri"/>
        </w:rPr>
        <w:t>3.1 Níveis de Teste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483"/>
        <w:gridCol w:w="1483"/>
        <w:gridCol w:w="1483"/>
        <w:gridCol w:w="1483"/>
        <w:gridCol w:w="1483"/>
        <w:gridCol w:w="1487"/>
      </w:tblGrid>
      <w:tr>
        <w:trPr>
          <w:tblHeader/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Nível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Tipo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Responsável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Ferramenta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Critério de Entrada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Critério de Saída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1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Testes Unitários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N/A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N/A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N/A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Não se aplica — o projeto não possui testes unitários automatizados.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2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Testes de Integração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N/A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N/A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N/A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Não se aplica — o projeto não possui testes de integração automatizados.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3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Code Review (peer review)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Cezar Hiraki como revisor principal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GitLab Merge Requests + checklist de revisão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MR aberto; build verde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MR aprovado formalmente por Cezar Hiraki (Tech Lead); todos os achados P1 e P2 resolvidos antes da aprovação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4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Testes de Sistema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Cezar Hiraki via Swagger UI / Postman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Swagger UI (gerado automaticamente) + Postman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Feature integrada em ambiente dev; MR mergeado em develop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Todos os endpoints respondem com status HTTP correto (200/400) e envelope padrão; autenticação JWT funcionando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5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Testes de Homologação (UAT)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Leonardo Francisco Pereira (AASP) + Cezar Hiraki (suporte)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Roteiros CTQ-AASP01-001 + ambiente de homologação AASP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Ambiente de homologação disponível; roteiros de teste aprovados; build deployado em homolog.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&gt;= 95% dos cenários críticos aprovados; todos os cenários P1 (críticos) aprovados sem ressalvas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6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Aceite Formal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Marcos Turnes (AASP, Product Owner)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Ata de aceite documentada (ATA-AASP01-00X)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Testes de homologação com &gt;= 95% aprovação; relatório de execução emitido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Aceite formal registrado em ata por Marcos Turnes; versão do entregável congelada no repositório</w:t>
            </w:r>
          </w:p>
        </w:tc>
      </w:tr>
    </w:tbl>
    <w:p>
      <w:pPr>
        <w:pStyle w:val="Heading3"/>
      </w:pPr>
      <w:r>
        <w:rPr>
          <w:rFonts w:ascii="Calibri" w:hAnsi="Calibri"/>
        </w:rPr>
        <w:t>3.2 Critérios de Qualidade do Projeto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967"/>
        <w:gridCol w:w="2967"/>
        <w:gridCol w:w="2968"/>
      </w:tblGrid>
      <w:tr>
        <w:trPr>
          <w:tblHeader/>
          <w:cantSplit w:val="1"/>
        </w:trPr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Meta</w:t>
            </w:r>
          </w:p>
        </w:tc>
        <w:tc>
          <w:tcPr>
            <w:tcW w:type="dxa" w:w="2968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Referência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Testes unitários automatizados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Não se aplica — o projeto não possui testes unitários automatizados</w:t>
            </w:r>
          </w:p>
        </w:tc>
        <w:tc>
          <w:tcPr>
            <w:tcW w:type="dxa" w:w="2968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Cenários de homologação aprovados (críticos)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100% dos cenários P1 aprovados; &gt;= 95% do total</w:t>
            </w:r>
          </w:p>
        </w:tc>
        <w:tc>
          <w:tcPr>
            <w:tcW w:type="dxa" w:w="29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Acordo formalizado com AASP no Kickoff (ATA-AASP01-001)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Defeitos críticos (P1) em produção ou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0 antes do aceite formal</w:t>
            </w:r>
          </w:p>
        </w:tc>
        <w:tc>
          <w:tcPr>
            <w:tcW w:type="dxa" w:w="2968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Meta de qualidade do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Defeitos P2 em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0 não resolvidos antes do aceite</w:t>
            </w:r>
          </w:p>
        </w:tc>
        <w:tc>
          <w:tcPr>
            <w:tcW w:type="dxa" w:w="29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Meta de qualidade do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Tempo de resposta API (percentil 95)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&lt;= 500 ms para todos os endpoints</w:t>
            </w:r>
          </w:p>
        </w:tc>
        <w:tc>
          <w:tcPr>
            <w:tcW w:type="dxa" w:w="2968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REQ RNF-01 (REQ-AASP01-001)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Rastreabilidade requisito para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100% para todos os RFs entregues na sprint</w:t>
            </w:r>
          </w:p>
        </w:tc>
        <w:tc>
          <w:tcPr>
            <w:tcW w:type="dxa" w:w="29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RASTR-AASP01-001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Desvio de SP por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&lt;= 10%</w:t>
            </w:r>
          </w:p>
        </w:tc>
        <w:tc>
          <w:tcPr>
            <w:tcW w:type="dxa" w:w="2968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PLA-AASP01-001</w:t>
            </w:r>
          </w:p>
        </w:tc>
      </w:tr>
    </w:tbl>
    <w:p>
      <w:pPr>
        <w:pStyle w:val="Heading2"/>
      </w:pPr>
      <w:r>
        <w:rPr>
          <w:rFonts w:ascii="Calibri" w:hAnsi="Calibri"/>
        </w:rPr>
        <w:t>4. Atividades de V&amp;V por Sprint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780"/>
        <w:gridCol w:w="1780"/>
        <w:gridCol w:w="1780"/>
        <w:gridCol w:w="1780"/>
        <w:gridCol w:w="1782"/>
      </w:tblGrid>
      <w:tr>
        <w:trPr>
          <w:tblHeader/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Sprint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Escopo Funcional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Atividades de V&amp;V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Responsável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Sprint 1 (26/05–06/06)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AG-20: CRUD de grupos; AG-21: função do usuário no grupo; AG-22: vínculo usuário-grupo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Code review MRs !1, !2, !3, !4, !5; testes de sistema via Swagger (endpoints GET/POST de api/gerenciar/grupos); UAT Leonardo Francisco Pereira (10 cenários CTQ); aceite formal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Renan Kiyoshi, Henry Komatsu e Mateus Veloso + Leonardo Francisco Pereira + Marcos Turnes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Concluído (aceite 06/06/2026)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Sprint 2 (09/06–20/06)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AG-23: auditoria de ações; AG-24: integração com ms.temis.vinculos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Code review MRs; testes de sistema em ambiente dev; UAT Leonardo Francisco Pereira; aceite formal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Renan Kiyoshi, Henry Komatsu e Mateus Veloso + Leonardo Francisco Pereira + Marcos Turnes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Em andamento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Sprint 3 (23/06–04/07)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AG-25: relatório consolidado de grupos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Testes de sistema (Swagger + Postman); UAT (Leonardo Francisco Pereira) com regressão de AG-20 a AG-25; preparação para aceite final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Renan Kiyoshi, Henry Komatsu e Mateus Veloso + Leonardo Francisco Pereira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Planejado</w:t>
            </w:r>
          </w:p>
        </w:tc>
      </w:tr>
    </w:tbl>
    <w:p>
      <w:pPr>
        <w:pStyle w:val="Heading2"/>
      </w:pPr>
      <w:r>
        <w:rPr>
          <w:rFonts w:ascii="Calibri" w:hAnsi="Calibri"/>
        </w:rPr>
        <w:t>5. Critérios de Entrada e Saída por Sprint</w:t>
      </w:r>
    </w:p>
    <w:p>
      <w:pPr>
        <w:pStyle w:val="Heading3"/>
      </w:pPr>
      <w:r>
        <w:rPr>
          <w:rFonts w:ascii="Calibri" w:hAnsi="Calibri"/>
        </w:rPr>
        <w:t>Critérios de Entrada (para início das atividades de V&amp;V da sprint)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Feature funcional implementada no branch de feature correspondente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Build sem erros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Merge Request aberto no GitLab com descrição das mudanças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Scripts de banco de dados (quando aplicável) validados em ambiente local</w:t>
      </w:r>
    </w:p>
    <w:p>
      <w:pPr>
        <w:pStyle w:val="Heading3"/>
      </w:pPr>
      <w:r>
        <w:rPr>
          <w:rFonts w:ascii="Calibri" w:hAnsi="Calibri"/>
        </w:rPr>
        <w:t>Critérios de Saída (para encerramento e aceite da sprint)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Testes unitários automatizados: Não se aplica — o projeto não possui testes unitários automatizados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Testes de integração automatizados: Não se aplica — o projeto não possui testes de integração automatizados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Code review aprovado por Cezar Hiraki (Tech Lead); achados P1 e P2 resolvidos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Testes de sistema (Swagger / Postman) sem anomalias nos contratos de API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UAT executado por Leonardo Francisco Pereira com &gt;= 95% de aprovação (100% dos cenários P1)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Aceite formal documentado em ata por Marcos Turnes</w:t>
      </w:r>
    </w:p>
    <w:p>
      <w:pPr>
        <w:pStyle w:val="Heading2"/>
      </w:pPr>
      <w:r>
        <w:rPr>
          <w:rFonts w:ascii="Calibri" w:hAnsi="Calibri"/>
        </w:rPr>
        <w:t>6. Gestão de Defeitos Encontrados</w:t>
      </w:r>
    </w:p>
    <w:p>
      <w:pPr>
        <w:pStyle w:val="Heading3"/>
      </w:pPr>
      <w:r>
        <w:rPr>
          <w:rFonts w:ascii="Calibri" w:hAnsi="Calibri"/>
        </w:rPr>
        <w:t>6.1 Classificação de Severidade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7"/>
      </w:tblGrid>
      <w:tr>
        <w:trPr>
          <w:tblHeader/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Impacto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Bloqueio de merge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P1 — Crítico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Defeito que impede o funcionamento do fluxo principal ou causa perda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Alto — bloqueia entrega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Sim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P2 — 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Defeito que afeta funcionalidade importante sem workaround simples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Médio-alto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Sim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P3 — 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Defeito com workaround disponível ou impacto limitado a cenário específico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Médio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Não (deve ser resolvido antes do aceite)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P4 — 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Inconsistência menor, problema estético ou melhoria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Baixo</w:t>
            </w:r>
          </w:p>
        </w:tc>
        <w:tc>
          <w:tcPr>
            <w:tcW w:type="dxa" w:w="222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Não</w:t>
            </w:r>
          </w:p>
        </w:tc>
      </w:tr>
    </w:tbl>
    <w:p>
      <w:pPr>
        <w:pStyle w:val="Heading3"/>
      </w:pPr>
      <w:r>
        <w:rPr>
          <w:rFonts w:ascii="Calibri" w:hAnsi="Calibri"/>
        </w:rPr>
        <w:t>6.2 Fluxo de Gestão de Defeitos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Defeito identificado em code review: registrado como comentário no MR com severidade e descrição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Defeito identificado em UAT: registrado por Leonardo Francisco Pereira no GitLab Issues com ID, descrição, severidade e evidência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Desenvolvedor (Renan / Henry / Mateus Veloso) corrige e registra a resolução no item de trabalho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Cezar Hiraki verifica a correção antes de re-aprovar o MR ou liberar para novo ciclo de UAT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Defeitos P1 e P2 devem ser resolvidos e re-validados antes de qualquer merge em develop</w:t>
      </w:r>
    </w:p>
    <w:p>
      <w:pPr>
        <w:pStyle w:val="Heading3"/>
      </w:pPr>
      <w:r>
        <w:rPr>
          <w:rFonts w:ascii="Calibri" w:hAnsi="Calibri"/>
        </w:rPr>
        <w:t>6.3 Histórico de Defeitos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271"/>
        <w:gridCol w:w="1271"/>
        <w:gridCol w:w="1271"/>
        <w:gridCol w:w="1271"/>
        <w:gridCol w:w="1271"/>
        <w:gridCol w:w="1271"/>
        <w:gridCol w:w="1276"/>
      </w:tblGrid>
      <w:tr>
        <w:trPr>
          <w:tblHeader/>
          <w:cantSplit w:val="1"/>
        </w:trPr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Sprint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ID Defeito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Tipo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Severidade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Descrição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Resolvido</w:t>
            </w:r>
          </w:p>
        </w:tc>
        <w:tc>
          <w:tcPr>
            <w:tcW w:type="dxa" w:w="1276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MR / Referência</w:t>
            </w:r>
          </w:p>
        </w:tc>
      </w:tr>
      <w:tr>
        <w:trPr>
          <w:cantSplit w:val="1"/>
        </w:trPr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Sprint 1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REV-S1-01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Code Review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P2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Conforme REV-AASP01-001 (RV-001-01)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Sim (antes do merge)</w:t>
            </w:r>
          </w:p>
        </w:tc>
        <w:tc>
          <w:tcPr>
            <w:tcW w:type="dxa" w:w="1276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MR !1</w:t>
            </w:r>
          </w:p>
        </w:tc>
      </w:tr>
      <w:tr>
        <w:trPr>
          <w:cantSplit w:val="1"/>
        </w:trPr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Sprint 1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REV-S1-02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Code Review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P3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Conforme REV-AASP01-001 (RV-001-02)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Sim (antes do merge)</w:t>
            </w:r>
          </w:p>
        </w:tc>
        <w:tc>
          <w:tcPr>
            <w:tcW w:type="dxa" w:w="12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MR !1</w:t>
            </w:r>
          </w:p>
        </w:tc>
      </w:tr>
      <w:tr>
        <w:trPr>
          <w:cantSplit w:val="1"/>
        </w:trPr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Sprint 1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REV-S1-03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Code Review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P2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Conforme REV-AASP01-001 (RV-002-01)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Sim (antes do merge)</w:t>
            </w:r>
          </w:p>
        </w:tc>
        <w:tc>
          <w:tcPr>
            <w:tcW w:type="dxa" w:w="1276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MR !3</w:t>
            </w:r>
          </w:p>
        </w:tc>
      </w:tr>
      <w:tr>
        <w:trPr>
          <w:cantSplit w:val="1"/>
        </w:trPr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Sprint 1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REV-S1-04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Code Review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P2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Conforme REV-AASP01-001 (RV-003-01)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Sim (antes do merge)</w:t>
            </w:r>
          </w:p>
        </w:tc>
        <w:tc>
          <w:tcPr>
            <w:tcW w:type="dxa" w:w="12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MR !4</w:t>
            </w:r>
          </w:p>
        </w:tc>
      </w:tr>
      <w:tr>
        <w:trPr>
          <w:cantSplit w:val="1"/>
        </w:trPr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Sprint 1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REV-S1-05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Code Review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P3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Conforme REV-AASP01-001 (RV-003-02)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Sim (antes do merge)</w:t>
            </w:r>
          </w:p>
        </w:tc>
        <w:tc>
          <w:tcPr>
            <w:tcW w:type="dxa" w:w="1276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MR !5</w:t>
            </w:r>
          </w:p>
        </w:tc>
      </w:tr>
    </w:tbl>
    <w:p>
      <w:pPr>
        <w:ind w:left="720"/>
      </w:pPr>
      <w:r>
        <w:rPr>
          <w:rFonts w:ascii="Calibri" w:hAnsi="Calibri"/>
          <w:i/>
          <w:color w:val="555555"/>
          <w:sz w:val="20"/>
        </w:rPr>
        <w:t xml:space="preserve">Detalhes completos de cada achado disponíveis em REV-AASP01-001 (Registro de Revisão Técnica). Nenhum defeito aberto em produção ou homologação ao término da Sprint 1.</w:t>
      </w:r>
    </w:p>
    <w:p>
      <w:pPr>
        <w:pStyle w:val="Heading2"/>
      </w:pPr>
      <w:r>
        <w:rPr>
          <w:rFonts w:ascii="Calibri" w:hAnsi="Calibri"/>
        </w:rPr>
        <w:t>7. Ferramentas e Ambientes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967"/>
        <w:gridCol w:w="2967"/>
        <w:gridCol w:w="2968"/>
      </w:tblGrid>
      <w:tr>
        <w:trPr>
          <w:tblHeader/>
          <w:cantSplit w:val="1"/>
        </w:trPr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Ferramenta / Ambiente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Uso</w:t>
            </w:r>
          </w:p>
        </w:tc>
        <w:tc>
          <w:tcPr>
            <w:tcW w:type="dxa" w:w="2968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Responsável pela Manutenção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Testes automatizados (xUnit/Moq)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Não se aplica — o projeto não possui testes automatizados</w:t>
            </w:r>
          </w:p>
        </w:tc>
        <w:tc>
          <w:tcPr>
            <w:tcW w:type="dxa" w:w="2968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Swagger UI (Swashbuckle)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Testes de sistema manuais; documentação automática da API</w:t>
            </w:r>
          </w:p>
        </w:tc>
        <w:tc>
          <w:tcPr>
            <w:tcW w:type="dxa" w:w="29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Cezar Hiraki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Postman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Testes de sistema e contratuais; coleção de endpoints exportável</w:t>
            </w:r>
          </w:p>
        </w:tc>
        <w:tc>
          <w:tcPr>
            <w:tcW w:type="dxa" w:w="2968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Cezar Hiraki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GitLab Merge Requests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Code review, gate de qualidade, rastreabilidade de mudanças</w:t>
            </w:r>
          </w:p>
        </w:tc>
        <w:tc>
          <w:tcPr>
            <w:tcW w:type="dxa" w:w="29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Cezar Hiraki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SQL Server (ambiente dev local)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Banco de dados utilizado durante o desenvolvimento</w:t>
            </w:r>
          </w:p>
        </w:tc>
        <w:tc>
          <w:tcPr>
            <w:tcW w:type="dxa" w:w="2968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Renan Kiyoshi, Henry Komatsu e Mateus Veloso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Ambiente de homologação AASP (banco + servidor)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UAT e aceite formal por sprint; ambiente espelhado da produção</w:t>
            </w:r>
          </w:p>
        </w:tc>
        <w:tc>
          <w:tcPr>
            <w:tcW w:type="dxa" w:w="29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Leonardo Francisco Pereira (AASP)</w:t>
            </w:r>
          </w:p>
        </w:tc>
      </w:tr>
    </w:tbl>
    <w:p>
      <w:pPr>
        <w:pStyle w:val="Heading2"/>
      </w:pPr>
      <w:r>
        <w:rPr>
          <w:rFonts w:ascii="Calibri" w:hAnsi="Calibri"/>
        </w:rPr>
        <w:t>8. Evidências</w:t>
      </w:r>
    </w:p>
    <w:p>
      <w:pPr>
        <w:spacing w:before="120" w:after="80"/>
        <w:jc w:val="center"/>
      </w:pPr>
      <w:r>
        <w:drawing>
          <wp:inline xmlns:wp="http://schemas.openxmlformats.org/drawingml/2006/wordprocessingDrawing" distT="0" distB="0" distL="0" distR="0">
            <wp:extent cx="5715000" cy="2554906"/>
            <wp:effectExtent l="0" t="0" r="0" b="0"/>
            <wp:docPr id="1" name="pipeline_grafico" descr="pipeline_graf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peline_grafico" descr="pipeline_grafico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_img_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549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555555"/>
          <w:sz w:val="18"/>
        </w:rPr>
        <w:t>Figura 1 — Pipeline CI/CD GitLab — build verde no branch develop</w:t>
      </w:r>
    </w:p>
    <w:p>
      <w:pPr>
        <w:spacing w:before="120" w:after="120"/>
      </w:pPr>
    </w:p>
    <w:p>
      <w:pPr>
        <w:pStyle w:val="Heading2"/>
      </w:pPr>
      <w:r>
        <w:rPr>
          <w:rFonts w:ascii="Calibri" w:hAnsi="Calibri"/>
        </w:rPr>
        <w:t>Histórico de Revisões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200"/>
        <w:gridCol w:w="1400"/>
        <w:gridCol w:w="1800"/>
        <w:gridCol w:w="4502"/>
      </w:tblGrid>
      <w:tr>
        <w:trPr>
          <w:tblHeader/>
          <w:cantSplit w:val="1"/>
        </w:trPr>
        <w:tc>
          <w:tcPr>
            <w:tcW w:type="dxa" w:w="12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Versão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Data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Autor</w:t>
            </w:r>
          </w:p>
        </w:tc>
        <w:tc>
          <w:tcPr>
            <w:tcW w:type="dxa" w:w="450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Descrição</w:t>
            </w:r>
          </w:p>
        </w:tc>
      </w:tr>
      <w:tr>
        <w:trPr>
          <w:cantSplit w:val="1"/>
        </w:trPr>
        <w:tc>
          <w:tcPr>
            <w:tcW w:type="dxa" w:w="12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1.0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26/05/2026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Abraão</w:t>
            </w:r>
          </w:p>
        </w:tc>
        <w:tc>
          <w:tcPr>
            <w:tcW w:type="dxa" w:w="450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Versão inicial — plano de V&amp;V elaborado no início da Sprint 1</w:t>
            </w:r>
          </w:p>
        </w:tc>
      </w:tr>
      <w:tr>
        <w:trPr>
          <w:cantSplit w:val="1"/>
        </w:trPr>
        <w:tc>
          <w:tcPr>
            <w:tcW w:type="dxa" w:w="12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1.1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15/06/2026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Abraão</w:t>
            </w:r>
          </w:p>
        </w:tc>
        <w:tc>
          <w:tcPr>
            <w:tcW w:type="dxa" w:w="450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Alinhado à API real (endpoints GET/POST 200/400; função do usuário), 3 sprints, nomes reais de service/repositório</w:t>
            </w:r>
          </w:p>
        </w:tc>
      </w:tr>
      <w:tr>
        <w:trPr>
          <w:cantSplit w:val="1"/>
        </w:trPr>
        <w:tc>
          <w:tcPr>
            <w:tcW w:type="dxa" w:w="12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1.2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23/06/2026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Abraão</w:t>
            </w:r>
          </w:p>
        </w:tc>
        <w:tc>
          <w:tcPr>
            <w:tcW w:type="dxa" w:w="450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Testes unitários e de integração marcados como Não se aplica (projeto sem testes automatizados)</w:t>
            </w:r>
          </w:p>
        </w:tc>
      </w:tr>
    </w:tbl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23/06/2026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23/06/2026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VV-AASP01-001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_img_1" Type="http://schemas.openxmlformats.org/officeDocument/2006/relationships/image" Target="media/img_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