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ATA DE ACEITE FORMAL — SPRINT 1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color w:val="2E75B6"/>
          <w:sz w:val="22"/>
          <w:szCs w:val="22"/>
        </w:rPr>
        <w:t xml:space="preserve">AASP Gerenciador · Grupos de Usuários</w:t>
      </w:r>
    </w:p>
    <w:p>
      <w:pPr>
        <w:pBdr>
          <w:bottom w:val="single" w:color="2E75B6" w:sz="4" w:space="1"/>
        </w:pBdr>
        <w:spacing w:after="120" w:before="120"/>
      </w:pPr>
    </w:p>
    <w:tbl>
      <w:tblPr>
        <w:tblW w:type="dxa" w:w="89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51"/>
        <w:gridCol w:w="4451"/>
      </w:tblGrid>
      <w:tr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ATA-AASP01-002</w:t>
            </w:r>
          </w:p>
        </w:tc>
      </w:tr>
      <w:tr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Projeto</w:t>
            </w:r>
          </w:p>
        </w:tc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Grupos de Usuários — AASP Gerenciador</w:t>
            </w:r>
          </w:p>
        </w:tc>
      </w:tr>
      <w:tr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AASP — Associação dos Advogados de São Paulo</w:t>
            </w:r>
          </w:p>
        </w:tc>
      </w:tr>
      <w:tr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da Reunião</w:t>
            </w:r>
          </w:p>
        </w:tc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06/06/2026</w:t>
            </w:r>
          </w:p>
        </w:tc>
      </w:tr>
      <w:tr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Horário</w:t>
            </w:r>
          </w:p>
        </w:tc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14h00 – 15h30</w:t>
            </w:r>
          </w:p>
        </w:tc>
      </w:tr>
      <w:tr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Microsoft Teams</w:t>
            </w:r>
          </w:p>
        </w:tc>
      </w:tr>
      <w:tr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Facilitador</w:t>
            </w:r>
          </w:p>
        </w:tc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Abraão (Timeware)</w:t>
            </w:r>
          </w:p>
        </w:tc>
      </w:tr>
      <w:tr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Processo MPS-SW</w:t>
            </w:r>
          </w:p>
        </w:tc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AQU / GRE (evidência de projeto)</w:t>
            </w:r>
          </w:p>
        </w:tc>
      </w:tr>
    </w:tbl>
    <w:p>
      <w:pPr>
        <w:pBdr>
          <w:bottom w:val="single" w:color="2E75B6" w:sz="4" w:space="1"/>
        </w:pBdr>
        <w:spacing w:after="120" w:before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1. Participantes</w:t>
      </w:r>
    </w:p>
    <w:tbl>
      <w:tblPr>
        <w:tblW w:type="dxa" w:w="89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3902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Empresa</w:t>
            </w:r>
          </w:p>
        </w:tc>
        <w:tc>
          <w:tcPr>
            <w:tcW w:type="dxa" w:w="3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Abraão · Cezar Hiraki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Timeware</w:t>
            </w:r>
          </w:p>
        </w:tc>
        <w:tc>
          <w:tcPr>
            <w:tcW w:type="dxa" w:w="3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GP (Abraão) · Arquiteto/Tech Lead (Cezar) · Facilitador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Renan Kiyoshi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Timeware</w:t>
            </w:r>
          </w:p>
        </w:tc>
        <w:tc>
          <w:tcPr>
            <w:tcW w:type="dxa" w:w="3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Desenvolvedor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Timeware</w:t>
            </w:r>
          </w:p>
        </w:tc>
        <w:tc>
          <w:tcPr>
            <w:tcW w:type="dxa" w:w="3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Desenvolvedor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Mateus Veloso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Timeware</w:t>
            </w:r>
          </w:p>
        </w:tc>
        <w:tc>
          <w:tcPr>
            <w:tcW w:type="dxa" w:w="3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Desenvolvedor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Marcos Turnes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AASP</w:t>
            </w:r>
          </w:p>
        </w:tc>
        <w:tc>
          <w:tcPr>
            <w:tcW w:type="dxa" w:w="3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Owner / Representante do Cliente / Aprovador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Leonardo Francisco Pereira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AASP</w:t>
            </w:r>
          </w:p>
        </w:tc>
        <w:tc>
          <w:tcPr>
            <w:tcW w:type="dxa" w:w="3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QA / Homologador</w:t>
            </w:r>
          </w:p>
        </w:tc>
      </w:tr>
    </w:tbl>
    <w:p>
      <w:pPr>
        <w:pBdr>
          <w:bottom w:val="single" w:color="2E75B6" w:sz="4" w:space="1"/>
        </w:pBdr>
        <w:spacing w:after="120" w:before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 Objetivo da Reunião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Apresentar os entregáveis da Sprint 1 (AG-20, AG-21, AG-22) ao cliente AASP, demonstrar o funcionamento dos endpoints via Swagger UI, apresentar os resultados dos testes de homologação executados por Leonardo Francisco Pereira e obter o aceite formal de Marcos Turnes (AASP, PO), encerrando oficialmente a Sprint 1.</w:t>
      </w:r>
    </w:p>
    <w:p>
      <w:pPr>
        <w:pBdr>
          <w:bottom w:val="single" w:color="2E75B6" w:sz="4" w:space="1"/>
        </w:pBdr>
        <w:spacing w:after="120" w:before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3. Itens Apresentados e Resultados</w:t>
      </w:r>
    </w:p>
    <w:tbl>
      <w:tblPr>
        <w:tblW w:type="dxa" w:w="89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2802"/>
        <w:gridCol w:w="1400"/>
        <w:gridCol w:w="13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História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28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Endpoints Demonstrados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Aceite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AG-20 — CRUD de Grupos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RF-01 a RF-04</w:t>
            </w:r>
          </w:p>
        </w:tc>
        <w:tc>
          <w:tcPr>
            <w:tcW w:type="dxa" w:w="28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incluirgrupo, listargrupo, buscargrupoporid, alterargrupo, excluirgrupo, ativardesativar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GRP-01 a GRP-07 — 7/7 OK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AG-21 — Função do Usuário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RF-05</w:t>
            </w:r>
          </w:p>
        </w:tc>
        <w:tc>
          <w:tcPr>
            <w:tcW w:type="dxa" w:w="28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alterarfuncaodousuario (Usuario/Administrador)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FUNC-01 — 1/1 OK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AG-22 — Vínculo Usuário-Grupo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RF-06</w:t>
            </w:r>
          </w:p>
        </w:tc>
        <w:tc>
          <w:tcPr>
            <w:tcW w:type="dxa" w:w="28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vínculo via incluirgrupo/alterargrupo; removerusuario (soft delete)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VINC-01, VINC-02 — 2/2 OK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Aprovado</w:t>
            </w:r>
          </w:p>
        </w:tc>
      </w:tr>
    </w:tbl>
    <w:p>
      <w:pPr>
        <w:pBdr>
          <w:bottom w:val="single" w:color="2E75B6" w:sz="4" w:space="1"/>
        </w:pBdr>
        <w:spacing w:after="120" w:before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4. Resultados dos Testes — Sprint 1</w:t>
      </w:r>
    </w:p>
    <w:tbl>
      <w:tblPr>
        <w:tblW w:type="dxa" w:w="89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402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Teste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Qtd.</w:t>
            </w:r>
          </w:p>
        </w:tc>
        <w:tc>
          <w:tcPr>
            <w:tcW w:type="dxa" w:w="4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Testes unitários automatizados (xUnit + Moq)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4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 aprovados; cobertura 68.4% em GerenciarGruposServices (meta ≥60% — atingida)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Testes de integração automatizados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dxa" w:w="4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Não se aplica — o projeto não possui testes de integração automatizados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Cenários de aceite (CTQ)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4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10/10 (100%) aprovados por Leonardo Francisco Pereira em 06/06/2026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Achados code review (REV)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(P2:3; P3:2)</w:t>
            </w:r>
          </w:p>
        </w:tc>
        <w:tc>
          <w:tcPr>
            <w:tcW w:type="dxa" w:w="4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 resolvidos antes do merge — nenhum defeito aberto</w:t>
            </w:r>
          </w:p>
        </w:tc>
      </w:tr>
    </w:tbl>
    <w:p>
      <w:pPr>
        <w:pBdr>
          <w:bottom w:val="single" w:color="2E75B6" w:sz="4" w:space="1"/>
        </w:pBdr>
        <w:spacing w:after="120" w:before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5. Pontos Levantados pelo Cliente</w:t>
      </w:r>
    </w:p>
    <w:p>
      <w:pPr>
        <w:spacing w:after="6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Marcos Turnes (AASP — PO): Confirmou que os endpoints atendem ao especificado no REQ-AASP01-001. Nenhuma ressalva técnica ou de negócio. Solicitou Sprint Review da Sprint 2 em 20/06/2026 às 14h00 (Teams).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Leonardo Francisco Pereira (AASP — QA): Validou todos os 10 cenários de aceite no ambiente de homologação AASP. Solicitou que o ambiente de homologação para a Sprint 2 seja preparado até 11/06/2026.</w:t>
      </w:r>
    </w:p>
    <w:p>
      <w:pPr>
        <w:pBdr>
          <w:bottom w:val="single" w:color="2E75B6" w:sz="4" w:space="1"/>
        </w:pBdr>
        <w:spacing w:after="120" w:before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6. Aceite Formal</w:t>
      </w:r>
    </w:p>
    <w:p>
      <w:pPr>
        <w:pBdr>
          <w:left w:val="single" w:color="2E75B6" w:sz="16" w:space="6"/>
        </w:pBdr>
        <w:shd w:fill="EBF3FB" w:val="clear"/>
        <w:spacing w:after="80" w:before="120"/>
        <w:ind w:left="2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Marcos Turnes (AASP) concedeu aceite formal da Sprint 1 SEM RESSALVAS em 06/06/2026.</w:t>
      </w:r>
    </w:p>
    <w:p>
      <w:pPr>
        <w:spacing w:after="60" w:before="120"/>
        <w:ind w:left="24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"Confirmo o aceite formal dos entregáveis da Sprint 1 (AG-20, AG-21 e AG-22) do projeto Grupos de Usuários — AASP Gerenciador. Os endpoints foram demonstrados e validados conforme os critérios de aceite definidos. Nenhuma ressalva ou pendência identificada."</w:t>
      </w:r>
    </w:p>
    <w:p>
      <w:pPr>
        <w:spacing w:after="20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— Marcos Turnes, AASP — Product Owner, 06/06/2026</w:t>
      </w:r>
    </w:p>
    <w:tbl>
      <w:tblPr>
        <w:tblW w:type="dxa" w:w="89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51"/>
        <w:gridCol w:w="4451"/>
      </w:tblGrid>
      <w:tr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Marcos Turnes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AASP — Product Owner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Aprovador / Representante do Cliente</w:t>
            </w:r>
          </w:p>
        </w:tc>
        <w:tc>
          <w:tcPr>
            <w:tcW w:type="dxa" w:w="44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Abraão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Timeware — Gerente de Projeto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Facilitador / Responsável pela Entrega</w:t>
            </w:r>
          </w:p>
        </w:tc>
      </w:tr>
    </w:tbl>
    <w:p>
      <w:pPr>
        <w:pBdr>
          <w:bottom w:val="single" w:color="2E75B6" w:sz="4" w:space="1"/>
        </w:pBdr>
        <w:spacing w:after="120" w:before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7. Próximos Passos</w:t>
      </w:r>
    </w:p>
    <w:tbl>
      <w:tblPr>
        <w:tblW w:type="dxa" w:w="89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2502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2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Prazo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Iniciar Sprint 2 — AG-23 (Auditoria) + AG-24 (Integração ms.temis.vinculos)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Renan Kiyoshi, Henry Komatsu e Mateus Veloso</w:t>
            </w:r>
          </w:p>
        </w:tc>
        <w:tc>
          <w:tcPr>
            <w:tcW w:type="dxa" w:w="2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09/06/2026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Preparar ambiente de homologação AASP para Sprint 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Renan Kiyoshi, Henry Komatsu e Mateus Veloso</w:t>
            </w:r>
          </w:p>
        </w:tc>
        <w:tc>
          <w:tcPr>
            <w:tcW w:type="dxa" w:w="2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11/06/2026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Review Sprint 2 — apresentação de AG-23 e AG-24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Abraão + Marcos Turnes</w:t>
            </w:r>
          </w:p>
        </w:tc>
        <w:tc>
          <w:tcPr>
            <w:tcW w:type="dxa" w:w="2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20/06/2026 — 14h00 Teams</w:t>
            </w:r>
          </w:p>
        </w:tc>
      </w:tr>
    </w:tbl>
    <w:p>
      <w:pPr>
        <w:pBdr>
          <w:bottom w:val="single" w:color="2E75B6" w:sz="4" w:space="1"/>
        </w:pBdr>
        <w:spacing w:after="120" w:before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Histórico de Revisões</w:t>
      </w:r>
    </w:p>
    <w:tbl>
      <w:tblPr>
        <w:tblW w:type="dxa" w:w="89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1800"/>
        <w:gridCol w:w="4902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Versão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Autor</w:t>
            </w:r>
          </w:p>
        </w:tc>
        <w:tc>
          <w:tcPr>
            <w:tcW w:type="dxa" w:w="4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06/06/2026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Abraão</w:t>
            </w:r>
          </w:p>
        </w:tc>
        <w:tc>
          <w:tcPr>
            <w:tcW w:type="dxa" w:w="4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Versão inicial — ata de aceite formal Sprint 1; aceite concedido por Marcos Turnes sem ressalvas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30/06/2026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4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Leonardo Francisco Pereira como QA/Homologador; métricas de testes unitários corrigidas (22 testes, 68.4%); integração removida</w:t>
            </w:r>
          </w:p>
        </w:tc>
      </w:tr>
    </w:tbl>
    <w:sectPr>
      <w:headerReference w:type="default" r:id="rId7"/>
      <w:pgSz w:w="11906" w:h="16838" w:orient="portrait"/>
      <w:pgMar w:top="1134" w:right="1134" w:bottom="1134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F3864" w:val="clear"/>
      <w:spacing w:after="0" w:before="0"/>
    </w:pPr>
    <w:r>
      <w:rPr>
        <w:rFonts w:ascii="Calibri" w:cs="Calibri" w:eastAsia="Calibri" w:hAnsi="Calibri"/>
        <w:color w:val="FFFFFF"/>
        <w:sz w:val="16"/>
        <w:szCs w:val="16"/>
      </w:rPr>
      <w:t xml:space="preserve">ATA-AASP01-002   ·   Versão 1.1   ·   06/06/2026   ·   Timeware Brasil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2026-06-30T14:21:29.690Z</dcterms:created>
  <dcterms:modified xsi:type="dcterms:W3CDTF">2026-06-30T14:21:29.690Z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