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— Capacitação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identificação das competências necessárias à execução do projeto AASP01 — Grupos de Usuários e a situação de cada papel da equipe frente a essas competências, conforme o Plano de Capacitação organizacional (PLA-CAP-001). A avaliação foi conduzida no início do projeto, junto à definição da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Competências necessárias ao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 no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5.0 (net5.0) / ASP.NET Web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 do sistema Gerenciador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e SQL Server (T-SQL, migrations)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 dados sobre o banco legado auxo3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microsserviços REST e RBAC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 ms.auxo.usuarios e controle de permissões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HTTP entre serviços (contratos, retry)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o ms.temis.vinculos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Flow e GitLab (Merge Request, pipeline CI/CD)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Versionamento, code review e gate de 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(xUnit, Moq)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 de aplicação (JWT, prevenção de SQL Injection)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dos endpoints e queries parametrizadas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Matriz de competências da equipe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Legenda: ✅ competência atendida.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Colaborador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ágil, GPR, comunicação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C-03, C-04, C-05, 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Ações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alocada já possuía as competências necessárias à stack e ao domínio do projeto, evidenciadas pela experiência prévia em módulos do sistema Gerenciador AASP (Dapper e .NET 5.0 (net5.0) como padrão estabelecido — ver GDE-AASP01-001). Não foi identificada necessidade de treinamento formal específico para o início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 contrato de API do ms.temis.vinculos (C-04)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técnica de alinhamento no início da Sprint 2, com o time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Realizada (09/06/2026)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avaliação de eficácia das ações de capacitação, quando aplicável, é consolidada no encerramento do projeto (conforme PLA-CAP-001). Para ações de curta duração e baixo impacto, a avaliação formal de eficácia é dispensável (GUIA-GPC-001, §7.2).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das competências do projeto e situação da equipe (início do projeto)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CAP-AASP01-001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