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ADAPTAÇÃO DO PROCESSO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Sim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adaptação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Decisões de adaptação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Adaptação do processo-padrão (PRO-GPC-001) a este projeto, conforme o GUIA-GPC-001.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Eixo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Tipo de produto (com/sem front-end)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UX/UI — apenas back-end/worker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solução é um agente de captura e serviços de retaguarda; não há interface de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Origem dos requisitos e do design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elabora; AASP valida e homologa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 requisitos derivam de problemas operacionais da captura; o cliente valida resultados e aceita as entregas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Porte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 → formalidade 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~586 h estimadas, ~9 meses, dois projetos correlatos (id 213 EPROC e id 256 CNJ)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 papéis (acúmulo)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Sênior acumulou execução de testes nas fases iniciais; GP acumulou responsável por GCO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Analista de Testes dedicado a partir da Fase 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 e cadência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acompanhada por horas/cards no ClickUp; backlog modelado retroativamente em sprints e story points para evidência e carga no Jira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Concilia a gestão real com a rastreabilidade ágil (ver GEST-AASPCNJ01)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Cadência de entrega ao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marco/fase, com devolutivas ao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Acordada com a AASP; resultados comunicados por fase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stage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adotado — homologação por amostragem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havia ambiente de Elasticsearch dedicado para testes; validação por repetição do mesmo processo na fila sem impacto no índice de produção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Etapas aplicáveis e não aplicáveis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Etapa / artefato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Aplicável?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sem front-end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Mapa de teste por história (story)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não usa histórias/SP; testes organizados por fluxo e fase (ver VV-AASPCNJ01-001)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(arquitetura)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PCP-AASPCNJ01-001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ITP-AASPCNJ01-001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e execução de V&amp;V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VV-AASPCNJ01-001 e REL-VV-AASPCNJ01-001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Gerência de Configuração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 (GitFlow + GMUD)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decisões (GDE)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Aquisição (AQU)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há subcontratação de desenvolvimento; APIs/infra de terceiros são insumos de serviço, tratados em ITP/PCP e Riscos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Pontos de controle obrigatórios (não adaptáveis)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Requisitos especificados e validados (REQ-AASPCNJ01-001)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Plano de Projeto aprovado pelo cliente (baseline) — a registrar no encerramento (projeto em execução)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Definição de Pronto aplicada (critérios de aceite CA01–CA07, ver VV)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Verificação e validação realizadas (VV / REL-VV)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Encerramento formal com aceite — Onda 3 (encerramento previsto 30/06/2026)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dois pontos em aberto referem-se a marcos de encerramento e serão registrados ao final do projeto (TAE-AASPCNJ01-001 e a ata de aceite), conforme o estágio atual.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adaptação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Sim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