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ESTRATÉGIA DE INTEGRAÇÃO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ITP-AASPAP01-001   ·   Versão 1.1   ·   09/01/2026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09/01/2026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Componentes a integrar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Serviço Windows que identifica processos pendentes e os publica na fila unificada WorkerAndamentos (RabbitMQ)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API REST que recebe os dados via webhook multi-fonte, serializa para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indexa no Elasticsearch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Workers (projeto irmão AASP_CNJ) que consomem a fila, consultam as fontes (CNJ / EPROC/ESAJ) e enviam os resultados ao webhook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Interfaces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Tipo/contrato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Enfileiramento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↔ RabbitMQ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Mensagem com NUP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SegmentoTribunal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(fila unificada WorkerAndamentos)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API DataJud/CNJ e portais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Consulta às fontes, roteada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parceiras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 ↔ APIs Solucionário/Botmax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REST, controladores específicos por parceira (verificação e exclusão de NUP)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Gravação / indexação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API AndamentosProcessuais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Webhook multi-fonte → serialização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indexação no Elasticsearch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 ↔ SQL Server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das tabelas de controle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Estratégia e ordem de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integração foi entregue de forma incremental, alinhada às fases do projeto: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Webhook EPROC/ESAJ e fila RabbitMQ (Fases 1–2):</w:t>
      </w:r>
      <w:r>
        <w:rPr>
          <w:rFonts w:ascii="Calibri" w:hAnsi="Calibri"/>
          <w:b w:val="0"/>
          <w:i w:val="0"/>
          <w:sz w:val="22"/>
        </w:rPr>
        <w:t xml:space="preserve"> criação do webhook de indexação para o TJSP e migração do CapturaServer para a fila unificada WorkerAndamentos com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Webhook multi-fonte e movimentações (Fase 3):</w:t>
      </w:r>
      <w:r>
        <w:rPr>
          <w:rFonts w:ascii="Calibri" w:hAnsi="Calibri"/>
          <w:b w:val="0"/>
          <w:i w:val="0"/>
          <w:sz w:val="22"/>
        </w:rPr>
        <w:t xml:space="preserve"> parametrização do webhook para qualquer fonte (incl. DataJud/CNJ), histórico de movimentações por instância e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Desligamento das parceiras (Fase 3) e tratamento de erros/segredo (Fase 4):</w:t>
      </w:r>
      <w:r>
        <w:rPr>
          <w:rFonts w:ascii="Calibri" w:hAnsi="Calibri"/>
          <w:b w:val="0"/>
          <w:i w:val="0"/>
          <w:sz w:val="22"/>
        </w:rPr>
        <w:t xml:space="preserve"> verificação e desligamento do NUP nas APIs parceiras após captura via CNJ, e tratamento de erros e segredo de justiça por instância.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Em retorno vazio/aguardando ou em falha transitória no envio ao webhook, o worker aplica retry (RNF04) antes de registrar o erro nas tabelas de controle.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Ambiente de integração</w:t>
      </w:r>
    </w:p>
    <w:p>
      <w:pPr>
        <w:spacing w:before="0" w:after="120"/>
      </w:pPr>
      <w:r>
        <w:t>GitLab (controle de versão, Merge Requests e pipeline CI/CD; repositório aasp/andamentosprocessuais); desenvolvimento local em .NET + SQL Server; homologação por amostragem em ambiente compartilhado com o projeto AASP_CNJ (sem Elasticsearch dedicado); produção na AASP com SQL Server, Elasticsearch e RabbitMQ. Ver GCO-AASPAP01-001.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Critérios de prontidão para integração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Code review aprovado (mínimo 2 revisores além do autor) antes do merge em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>, conforme GitFlow.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de fluxo executados para o cenário integrado e testes de regressão por amostragem antes de cada merge na Fase 4.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Tratamento de erro por instância implementado e registrado nas tabelas de controle.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Testes do produto integrado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fluxo integrado (CapturaServer → RabbitMQ → WorkerAndamentos → webhook → Elasticsearch) foi validado por testes de integração, E2E e de regressão, cobrindo cenários de sucesso, erro parcial por instância, NUP inválido, segredo de justiça e não-regressão do fluxo EPROC/ESAJ (CT-01 a CT-12, 100% aprovados). O mecanismo de retry no envio ao webhook foi implementado na Fase 4 para aumentar a resiliência. Detalhes na aba V&amp;V — Testes da GEST-AASPAP01.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Entrega e material de apoio</w:t>
      </w:r>
    </w:p>
    <w:p>
      <w:pPr>
        <w:spacing w:before="0" w:after="120"/>
      </w:pPr>
      <w:r>
        <w:t>A entrega em produção segue o rito de GMUD: montagem de pacote de publicação e scripts DDL versionados no GitLab, validação em homologação e agendamento com a Infraestrutura. Tags de baseline: v220 (legado / ponto de partida), v230 (Fases 1–2), v1.5.0/v1.5.1 (Fases 3–4 e hotfix, releases no GitLab). Escopo adicional formalizado em CR-AASPAP01-002 (campos Observacao/Segredo/CodigoFonteAPI e tratamentos de erro).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09/01/2026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Equipe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 consolidada a partir do Registro de Projeto AASP_AndamentosProcessuais, do GEST-AASPAP01 e do GCO-AASPAP01-001.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Equipe Técnica</w:t>
            </w:r>
          </w:p>
        </w:tc>
        <w:tc>
          <w:tcPr>
            <w:tcW w:type="dxa" w:w="2225"/>
          </w:tcPr>
          <w:p>
            <w:r>
              <w:t>Reconciliação com o GitLab: releases v1.5.0/v1.5.1 (antes v2.0.0/v2.0.1); política de 2 revisores além do autor.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ITP-AASPAP01-001</w:t>
    </w:r>
    <w:r>
      <w:tab/>
    </w:r>
    <w:r>
      <w:rPr>
        <w:rFonts w:ascii="Calibri" w:hAnsi="Calibri"/>
        <w:color w:val="555555"/>
        <w:sz w:val="18"/>
      </w:rPr>
      <w:t>Integração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