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ATA DE REUNIÃO — ALINHAMENTO E REVISÃO DO FLUXO DE CAPTURA (REFATORAÇÃO ANDAMENTOSPROCESSUAIS)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ATA-AASPAP01-001   ·   Versão 1.0   ·   11/06/2026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ATA-AASPAP01-001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AASP_AndamentosProcessuais — Refatoração da Solução de Captura de Andamentos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— Associação dos Advogados de São Paulo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07/04/2026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 / Responsável pela 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(acompanhamento — evidência de projeto)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Local / meio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Videoconferência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Esta ata consolida o alinhamento técnico do fluxo (07/04/2026) e a revisão do fluxo com o time ampliado (08/05/2026).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1. Participantes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Organização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Velázquez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DevOps / Arquiteto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 Sênior (Principal)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Mateus Veloso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 (Suporte)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Caroline Sousa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Analista de QA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Lucas Batista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DevOps / Infraestrutura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Sessão 1 — Alinhamento do fluxo da API CNJ (07/04/2026)</w:t>
      </w:r>
    </w:p>
    <w:p>
      <w:pPr>
        <w:pStyle w:val="Heading2"/>
        <w:keepNext/>
        <w:keepLines/>
      </w:pPr>
      <w:r>
        <w:t>2. Pauta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Apresentação do novo fluxo de captura multi-fonte (DataJud/CNJ + EPROC/ESAJ + parceiras).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Definição das responsabilidades de cada componente no novo modelo.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Integração do desenvolvedor de suporte (Mateus Veloso), incorporado em Abr/2026.</w:t>
      </w:r>
    </w:p>
    <w:p>
      <w:pPr>
        <w:pStyle w:val="Heading2"/>
        <w:keepNext/>
        <w:keepLines/>
      </w:pPr>
      <w:r>
        <w:t>3. Discussões e definições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 Gerente de Projeto apresentou o fluxo completo da refatoração: migração do </w:t>
      </w:r>
      <w:r>
        <w:rPr>
          <w:rFonts w:ascii="Courier New" w:hAnsi="Courier New"/>
          <w:b w:val="0"/>
          <w:i w:val="0"/>
          <w:color w:val="333333"/>
          <w:sz w:val="20"/>
        </w:rPr>
        <w:t>CapturaServer</w:t>
      </w:r>
      <w:r>
        <w:rPr>
          <w:rFonts w:ascii="Calibri" w:hAnsi="Calibri"/>
          <w:b w:val="0"/>
          <w:i w:val="0"/>
          <w:sz w:val="22"/>
        </w:rPr>
        <w:t xml:space="preserve"> para a fila unificada </w:t>
      </w:r>
      <w:r>
        <w:rPr>
          <w:rFonts w:ascii="Courier New" w:hAnsi="Courier New"/>
          <w:b w:val="0"/>
          <w:i w:val="0"/>
          <w:color w:val="333333"/>
          <w:sz w:val="20"/>
        </w:rPr>
        <w:t>WorkerAndamentos</w:t>
      </w:r>
      <w:r>
        <w:rPr>
          <w:rFonts w:ascii="Calibri" w:hAnsi="Calibri"/>
          <w:b w:val="0"/>
          <w:i w:val="0"/>
          <w:sz w:val="22"/>
        </w:rPr>
        <w:t xml:space="preserve"> (RabbitMQ) com </w:t>
      </w:r>
      <w:r>
        <w:rPr>
          <w:rFonts w:ascii="Courier New" w:hAnsi="Courier New"/>
          <w:b w:val="0"/>
          <w:i w:val="0"/>
          <w:color w:val="333333"/>
          <w:sz w:val="20"/>
        </w:rPr>
        <w:t>SegmentoTribunal</w:t>
      </w:r>
      <w:r>
        <w:rPr>
          <w:rFonts w:ascii="Calibri" w:hAnsi="Calibri"/>
          <w:b w:val="0"/>
          <w:i w:val="0"/>
          <w:sz w:val="22"/>
        </w:rPr>
        <w:t>, webhook de indexação parametrizado para múltiplas fontes, histórico de movimentações por inativação de registro, e verificação/desligamento nas APIs parceiras (Solucionário, Botmax) na camada da API após a captura via CNJ.</w:t>
      </w:r>
    </w:p>
    <w:p>
      <w:pPr>
        <w:pStyle w:val="Heading2"/>
        <w:keepNext/>
        <w:keepLines/>
      </w:pPr>
      <w:r>
        <w:t>4. Decisões e aceites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 / aceite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Parametrizar o webhook para suporte multi-fonte (D03)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Velázquez / time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07/04/2026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Histórico de movimentações por inativação de registro (D04)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07/04/2026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Verificação/desligamento das parceiras na camada da API (D05)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07/04/2026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(Decisões detalhadas em GDE-AASPAP01-001.)</w:t>
      </w:r>
    </w:p>
    <w:p>
      <w:pPr>
        <w:pStyle w:val="Heading2"/>
        <w:keepNext/>
        <w:keepLines/>
      </w:pPr>
      <w:r>
        <w:t>5. Ações (follow-up)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Refatorar o webhook para múltiplas fontes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Implementar a lógica de movimentações por inativação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Onboarding do desenvolvedor de suporte no fluxo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Velázquez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Sessão 2 — Revisão do fluxo e definição de atividades (08/05/2026)</w:t>
      </w:r>
    </w:p>
    <w:p>
      <w:pPr>
        <w:pStyle w:val="Heading2"/>
        <w:keepNext/>
        <w:keepLines/>
      </w:pPr>
      <w:r>
        <w:t>6. Pauta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Revisão completa do fluxo com o time ampliado.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Redistribuição de atividades entre os dois projetos correlatos (AASP_AndamentosProcessuais e AASP_CNJ).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Planejamento da continuidade do time durante o período de férias do GP (06–08/05/2026).</w:t>
      </w:r>
    </w:p>
    <w:p>
      <w:pPr>
        <w:pStyle w:val="Heading2"/>
        <w:keepNext/>
        <w:keepLines/>
      </w:pPr>
      <w:r>
        <w:t>7. Discussões e definições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Revisado o andamento das Fases 3–4: webhook multi-fonte e movimentações entregues; foco no tratamento de erros por instância (campo Observacao), no controle de segredo de justiça por instância (campo Segredo, decisão D07) e na atualização do CodigoFonteAPI. Esse escopo adicional foi formalizado no CR-AASPAP01-002. Acordada a continuidade autônoma do time durante a ausência do gestor.</w:t>
      </w:r>
      <w:r>
        <w:rPr>
          <w:rFonts w:ascii="Courier New" w:hAnsi="Courier New"/>
          <w:b w:val="0"/>
          <w:i w:val="0"/>
          <w:color w:val="333333"/>
          <w:sz w:val="20"/>
        </w:rPr>
      </w:r>
      <w:r>
        <w:rPr>
          <w:rFonts w:ascii="Calibri" w:hAnsi="Calibri"/>
          <w:b w:val="0"/>
          <w:i w:val="0"/>
          <w:sz w:val="22"/>
        </w:rPr>
      </w:r>
      <w:r>
        <w:rPr>
          <w:rFonts w:ascii="Courier New" w:hAnsi="Courier New"/>
          <w:b w:val="0"/>
          <w:i w:val="0"/>
          <w:color w:val="333333"/>
          <w:sz w:val="20"/>
        </w:rPr>
      </w:r>
      <w:r>
        <w:rPr>
          <w:rFonts w:ascii="Calibri" w:hAnsi="Calibri"/>
          <w:b w:val="0"/>
          <w:i w:val="0"/>
          <w:sz w:val="22"/>
        </w:rPr>
      </w:r>
      <w:r>
        <w:rPr>
          <w:rFonts w:ascii="Courier New" w:hAnsi="Courier New"/>
          <w:b w:val="0"/>
          <w:i w:val="0"/>
          <w:color w:val="333333"/>
          <w:sz w:val="20"/>
        </w:rPr>
      </w:r>
      <w:r>
        <w:rPr>
          <w:rFonts w:ascii="Calibri" w:hAnsi="Calibri"/>
          <w:b w:val="0"/>
          <w:i w:val="0"/>
          <w:sz w:val="22"/>
        </w:rPr>
      </w:r>
    </w:p>
    <w:p>
      <w:pPr>
        <w:pStyle w:val="Heading2"/>
        <w:keepNext/>
        <w:keepLines/>
      </w:pPr>
      <w:r>
        <w:t>8. Decisões e aceites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 / aceite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Controlar segredo de justiça por instância — campo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Segredo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(D07)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08/05/2026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Formalizar o escopo adicional da Fase 4 (CR-AASPAP01-002)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Velázquez / Marcos Correa Fernandez Turnes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Mai/2026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Redistribuir atividades entre AASP_AndamentosProcessuais e AASP_CNJ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Velázquez / time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08/05/2026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9. Próximos passos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Conclusão da Fase 4 (tratamento de erros, segredo e validação E2E + regressão EPROC) e preparação da Fase 5 (montagem do pacote GMUD e deploy em produção).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07/04/2026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Gerente de Projeto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 consolidando o alinhamento de 07/04/2026 e a revisão de 08/05/2026, reconstituída a partir da Planilha de Gestão GEST-AASPAP01 e do Registro de Projeto REG-AASPAP01-001.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ATA-AASPAP01-001</w:t>
    </w:r>
    <w:r>
      <w:tab/>
    </w:r>
    <w:r>
      <w:rPr>
        <w:rFonts w:ascii="Calibri" w:hAnsi="Calibri"/>
        <w:color w:val="555555"/>
        <w:sz w:val="18"/>
      </w:rPr>
      <w:t>Governança Organizacional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