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ACOMPANHAMENTO — Fase 1 — Webhook e CapturaServer (EPROC)</w:t>
      </w:r>
    </w:p>
    <w:p>
      <w:r>
        <w:t>ATA-AASPAP01-002   ·   Versão 1.0   ·   27/02/2026   ·   Timeware Brasil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ATA-AASPAP01-002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27/02/2026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Reunião de acompanhamento de projeto (cadência por fase/marco)</w:t>
            </w:r>
          </w:p>
        </w:tc>
      </w:tr>
      <w:tr>
        <w:tc>
          <w:tcPr>
            <w:tcW w:type="dxa" w:w="4320"/>
          </w:tcPr>
          <w:p>
            <w:r>
              <w:t>Local / meio</w:t>
            </w:r>
          </w:p>
        </w:tc>
        <w:tc>
          <w:tcPr>
            <w:tcW w:type="dxa" w:w="4320"/>
          </w:tcPr>
          <w:p>
            <w:r>
              <w:t>Videoconferência</w:t>
            </w:r>
          </w:p>
        </w:tc>
      </w:tr>
      <w:tr>
        <w:tc>
          <w:tcPr>
            <w:tcW w:type="dxa" w:w="4320"/>
          </w:tcPr>
          <w:p>
            <w:r>
              <w:t>Responsável pela ata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</w:tbl>
    <w:p>
      <w:pPr>
        <w:pStyle w:val="Heading2"/>
      </w:pPr>
      <w:r>
        <w:t>1.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Papel</w:t>
            </w:r>
          </w:p>
        </w:tc>
      </w:tr>
      <w:tr>
        <w:tc>
          <w:tcPr>
            <w:tcW w:type="dxa" w:w="4320"/>
          </w:tcPr>
          <w:p>
            <w:r>
              <w:t>Abraão Oliveira</w:t>
            </w:r>
          </w:p>
        </w:tc>
        <w:tc>
          <w:tcPr>
            <w:tcW w:type="dxa" w:w="4320"/>
          </w:tcPr>
          <w:p>
            <w:r>
              <w:t>Gerente de Projeto</w:t>
            </w:r>
          </w:p>
        </w:tc>
      </w:tr>
      <w:tr>
        <w:tc>
          <w:tcPr>
            <w:tcW w:type="dxa" w:w="4320"/>
          </w:tcPr>
          <w:p>
            <w:r>
              <w:t>Cézar Hiraki Velázquez</w:t>
            </w:r>
          </w:p>
        </w:tc>
        <w:tc>
          <w:tcPr>
            <w:tcW w:type="dxa" w:w="4320"/>
          </w:tcPr>
          <w:p>
            <w:r>
              <w:t>Tech Lead / DevOps / Arquiteto</w:t>
            </w:r>
          </w:p>
        </w:tc>
      </w:tr>
      <w:tr>
        <w:tc>
          <w:tcPr>
            <w:tcW w:type="dxa" w:w="4320"/>
          </w:tcPr>
          <w:p>
            <w:r>
              <w:t>Raony Chagas</w:t>
            </w:r>
          </w:p>
        </w:tc>
        <w:tc>
          <w:tcPr>
            <w:tcW w:type="dxa" w:w="4320"/>
          </w:tcPr>
          <w:p>
            <w:r>
              <w:t>Desenvolvedor Sênior</w:t>
            </w:r>
          </w:p>
        </w:tc>
      </w:tr>
      <w:tr>
        <w:tc>
          <w:tcPr>
            <w:tcW w:type="dxa" w:w="4320"/>
          </w:tcPr>
          <w:p>
            <w:r>
              <w:t>Marcos Correa Fernandez Turnes</w:t>
            </w:r>
          </w:p>
        </w:tc>
        <w:tc>
          <w:tcPr>
            <w:tcW w:type="dxa" w:w="4320"/>
          </w:tcPr>
          <w:p>
            <w:r>
              <w:t>Sponsor / PO (AASP)</w:t>
            </w:r>
          </w:p>
        </w:tc>
      </w:tr>
    </w:tbl>
    <w:p>
      <w:pPr>
        <w:pStyle w:val="Heading2"/>
      </w:pPr>
      <w:r>
        <w:t>2. Pauta</w:t>
      </w:r>
    </w:p>
    <w:p>
      <w:r>
        <w:t>- Entregas da Fase 1 (webhook EPROC e publicação do CapturaServer na fila)</w:t>
        <w:br/>
        <w:t>- Esforço estimado × realizado</w:t>
        <w:br/>
        <w:t>- Riscos e próximos passos</w:t>
      </w:r>
    </w:p>
    <w:p>
      <w:pPr>
        <w:pStyle w:val="Heading2"/>
      </w:pPr>
      <w:r>
        <w:t>3. Discussões e definições</w:t>
      </w:r>
    </w:p>
    <w:p>
      <w:r>
        <w:t>Concluída a Fase 1: o CapturaServer passou a publicar na fila WorkerAndamentos (RabbitMQ) com SegmentoTribunal e o webhook de indexação foi preparado para o fluxo EPROC. Esforço realizado ~48 h ante 44 h estimadas (+9%), sem defeitos no período. Sem regressão no fluxo em produção.</w:t>
      </w:r>
    </w:p>
    <w:p>
      <w:pPr>
        <w:pStyle w:val="Heading2"/>
      </w:pPr>
      <w:r>
        <w:t>4. Decisões e aceites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Decisão / aceite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Aceite da Fase 1 (fluxo EPROC)</w:t>
            </w:r>
          </w:p>
        </w:tc>
        <w:tc>
          <w:tcPr>
            <w:tcW w:type="dxa" w:w="2880"/>
          </w:tcPr>
          <w:p>
            <w:r>
              <w:t>Marcos Correa Fernandez Turnes</w:t>
            </w:r>
          </w:p>
        </w:tc>
        <w:tc>
          <w:tcPr>
            <w:tcW w:type="dxa" w:w="2880"/>
          </w:tcPr>
          <w:p>
            <w:r>
              <w:t>27/02/2026</w:t>
            </w:r>
          </w:p>
        </w:tc>
      </w:tr>
    </w:tbl>
    <w:p>
      <w:pPr>
        <w:pStyle w:val="Heading2"/>
      </w:pPr>
      <w:r>
        <w:t>5. Ações (follow-up)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Ação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Prazo</w:t>
            </w:r>
          </w:p>
        </w:tc>
      </w:tr>
      <w:tr>
        <w:tc>
          <w:tcPr>
            <w:tcW w:type="dxa" w:w="2880"/>
          </w:tcPr>
          <w:p>
            <w:r>
              <w:t>Iniciar estabilização e integração unificada via RabbitMQ (Fase 2)</w:t>
            </w:r>
          </w:p>
        </w:tc>
        <w:tc>
          <w:tcPr>
            <w:tcW w:type="dxa" w:w="2880"/>
          </w:tcPr>
          <w:p>
            <w:r>
              <w:t>Raony Chagas / Cézar Hiraki Velázquez</w:t>
            </w:r>
          </w:p>
        </w:tc>
        <w:tc>
          <w:tcPr>
            <w:tcW w:type="dxa" w:w="2880"/>
          </w:tcPr>
          <w:p>
            <w:r>
              <w:t>Mar/2026</w:t>
            </w:r>
          </w:p>
        </w:tc>
      </w:tr>
    </w:tbl>
    <w:p>
      <w:pPr>
        <w:pStyle w:val="Heading2"/>
      </w:pPr>
      <w:r>
        <w:t>6. Próximos passos</w:t>
      </w:r>
    </w:p>
    <w:p>
      <w:r>
        <w:t>Fase 2 — Estabilização e integração RabbitMQ.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27/02/2026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Ata de acompanhamento da Fase 1, consolidada a partir de MED-AASPAP01-001 §3 e do acompanhamento no GitLab.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