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DE HOMOLOGAÇÃO EPROC/ESAJ E DEVOLUTIVA AOS ASSOCIADOS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Incluir um escopo adicional de homologação da captura EPROC/ESAJ por amostragem e a devolutiva aos associados da AASP sobre o resultado em produção, durante as Fases 1–2.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Garantir a validação dos critérios de aceite em ambiente compartilhado (sem Elasticsearch dedicado) e dar retorno formal aos associados sobre o monitoramento dos processos.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homologação por amostragem + devolutiva aos associados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h, absorvidas na Fase 2 — sem impacto no prazo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absorvido pelo time, sem custo extra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atividade de validação reduz o risco de regressão (R-01)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</w:t>
            </w:r>
          </w:p>
        </w:tc>
      </w:tr>
    </w:tbl>
    <w:p>
      <w:pPr>
        <w:spacing w:before="0" w:after="160"/>
      </w:pPr>
    </w:p>
    <w:p>
      <w:r>
        <w:rPr>
          <w:b/>
        </w:rPr>
        <w:t>6. Reflexo no projeto</w:t>
      </w:r>
    </w:p>
    <w:p>
      <w:r>
        <w:t>A mudança está refletida na Planilha de Gestão GEST-AASPAP01 (aba Change Requests), na Matriz de Rastreabilidade (fluxo EPROC/ESAJ) e na baseline de configuração (GCO-AASPAP01-001). O esforço adicional foi absorvido na Fase 2, sem alteração do prazo final do projeto (ver RAC-AASPAP01-001).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CR-AASPAP01-001 (homologação EPROC/ESAJ e devolutiva), a partir da Planilha de Gestão GEST-AASPAP01 (aba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