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(execução, Fases 1–4)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 A verificação foi conduzida em três marcos auditados em 08/06/2026: Fases 1–2 (10 itens), Fases 3–4 (11 itens) e consolidado do ciclo (21 itens), com 0 desvios e 100% de conformidade.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REQ-AASPAP01-001; ATAs de alinhamento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(D01–D07)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(PR ≥ 1 revisor além do autor)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(refatoração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(Fase 5 — implantação)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(REG v1.0, 08/06/2026)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RF + 5 RNF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 / REV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 pendente (Fase 5 em andamento)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automatizados / pipeline de CI limitada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Avaliar automação de testes em ciclos futuros (lição aprendida)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auditados em 08/06/2026: 21/21 itens conformes (100%); item GCO-3 (auditoria de encerramento) pendente por o projeto estar em execução.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ao encerramento e à automação de testes)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de configuração de encerramento; ampliar cobertura de testes automatizados / CI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Referência ao processo de origem: EST-GPC-001 (estratégia de Garantia da Qualidade de Processo).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Garantia da Qualidade (GQA)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GQA-AASPAP01-001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