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DEFINIÇÃO DE METAS DE QUALIDADE — AASP_ANDAMENTOSPROCESSUAIS</w:t>
      </w:r>
    </w:p>
    <w:p>
      <w:r>
        <w:t>MQ-AASPAP01-001   ·   Versão 1.0   ·   15/12/2025   ·   Timeware Brasil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MQ-AASPAP01-001</w:t>
            </w:r>
          </w:p>
        </w:tc>
      </w:tr>
      <w:tr>
        <w:tc>
          <w:tcPr>
            <w:tcW w:type="dxa" w:w="4320"/>
          </w:tcPr>
          <w:p>
            <w:r>
              <w:t>Projeto</w:t>
            </w:r>
          </w:p>
        </w:tc>
        <w:tc>
          <w:tcPr>
            <w:tcW w:type="dxa" w:w="4320"/>
          </w:tcPr>
          <w:p>
            <w:r>
              <w:t>AASP_AndamentosProcessuais — Refatoração da Solução de Captura de Andamentos</w:t>
            </w:r>
          </w:p>
        </w:tc>
      </w:tr>
      <w:tr>
        <w:tc>
          <w:tcPr>
            <w:tcW w:type="dxa" w:w="4320"/>
          </w:tcPr>
          <w:p>
            <w:r>
              <w:t>Cliente</w:t>
            </w:r>
          </w:p>
        </w:tc>
        <w:tc>
          <w:tcPr>
            <w:tcW w:type="dxa" w:w="4320"/>
          </w:tcPr>
          <w:p>
            <w:r>
              <w:t>AASP — Associação dos Advogados de São Paulo</w:t>
            </w:r>
          </w:p>
        </w:tc>
      </w:tr>
      <w:tr>
        <w:tc>
          <w:tcPr>
            <w:tcW w:type="dxa" w:w="4320"/>
          </w:tcPr>
          <w:p>
            <w:r>
              <w:t>Organização</w:t>
            </w:r>
          </w:p>
        </w:tc>
        <w:tc>
          <w:tcPr>
            <w:tcW w:type="dxa" w:w="4320"/>
          </w:tcPr>
          <w:p>
            <w:r>
              <w:t>Timeware Brasil Softwares e Serviços LTDA</w:t>
            </w:r>
          </w:p>
        </w:tc>
      </w:tr>
      <w:tr>
        <w:tc>
          <w:tcPr>
            <w:tcW w:type="dxa" w:w="4320"/>
          </w:tcPr>
          <w:p>
            <w:r>
              <w:t>Gerente de Projeto</w:t>
            </w:r>
          </w:p>
        </w:tc>
        <w:tc>
          <w:tcPr>
            <w:tcW w:type="dxa" w:w="4320"/>
          </w:tcPr>
          <w:p>
            <w:r>
              <w:t>Abraão Oliveira</w:t>
            </w:r>
          </w:p>
        </w:tc>
      </w:tr>
      <w:tr>
        <w:tc>
          <w:tcPr>
            <w:tcW w:type="dxa" w:w="4320"/>
          </w:tcPr>
          <w:p>
            <w:r>
              <w:t>Versão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15/12/2025</w:t>
            </w:r>
          </w:p>
        </w:tc>
      </w:tr>
      <w:tr>
        <w:tc>
          <w:tcPr>
            <w:tcW w:type="dxa" w:w="4320"/>
          </w:tcPr>
          <w:p>
            <w:r>
              <w:t>Processo MPS-SW</w:t>
            </w:r>
          </w:p>
        </w:tc>
        <w:tc>
          <w:tcPr>
            <w:tcW w:type="dxa" w:w="4320"/>
          </w:tcPr>
          <w:p>
            <w:r>
              <w:t>GPC/MED (evidência de projeto)</w:t>
            </w:r>
          </w:p>
        </w:tc>
      </w:tr>
      <w:tr>
        <w:tc>
          <w:tcPr>
            <w:tcW w:type="dxa" w:w="4320"/>
          </w:tcPr>
          <w:p>
            <w:r>
              <w:t>Momento</w:t>
            </w:r>
          </w:p>
        </w:tc>
        <w:tc>
          <w:tcPr>
            <w:tcW w:type="dxa" w:w="4320"/>
          </w:tcPr>
          <w:p>
            <w:r>
              <w:t>Início do projeto (kickoff)</w:t>
            </w:r>
          </w:p>
        </w:tc>
      </w:tr>
    </w:tbl>
    <w:p>
      <w:pPr>
        <w:pStyle w:val="Heading2"/>
      </w:pPr>
      <w:r>
        <w:t>1. Objetivo</w:t>
      </w:r>
    </w:p>
    <w:p>
      <w:r>
        <w:t>Definir, no início do projeto, as metas de qualidade que orientam a Medição (MED-AASPAP01-001), a Garantia da Qualidade de Processo (GQA-AASPAP01-001) e a Verificação &amp; Validação (VV-AASPAP01-001) da refatoração da solução legada AndamentosProcessuais para o modelo DataJud/CNJ + WorkerAndamentos.</w:t>
      </w:r>
    </w:p>
    <w:p>
      <w:pPr>
        <w:pStyle w:val="Heading2"/>
      </w:pPr>
      <w:r>
        <w:t>2. Metas de qualidade do projeto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Código</w:t>
            </w:r>
          </w:p>
        </w:tc>
        <w:tc>
          <w:tcPr>
            <w:tcW w:type="dxa" w:w="2160"/>
          </w:tcPr>
          <w:p>
            <w:r>
              <w:t>Meta de qualidade</w:t>
            </w:r>
          </w:p>
        </w:tc>
        <w:tc>
          <w:tcPr>
            <w:tcW w:type="dxa" w:w="2160"/>
          </w:tcPr>
          <w:p>
            <w:r>
              <w:t>Alvo</w:t>
            </w:r>
          </w:p>
        </w:tc>
        <w:tc>
          <w:tcPr>
            <w:tcW w:type="dxa" w:w="2160"/>
          </w:tcPr>
          <w:p>
            <w:r>
              <w:t>Forma de verificação</w:t>
            </w:r>
          </w:p>
        </w:tc>
      </w:tr>
      <w:tr>
        <w:tc>
          <w:tcPr>
            <w:tcW w:type="dxa" w:w="2160"/>
          </w:tcPr>
          <w:p>
            <w:r>
              <w:t>MQ-1</w:t>
            </w:r>
          </w:p>
        </w:tc>
        <w:tc>
          <w:tcPr>
            <w:tcW w:type="dxa" w:w="2160"/>
          </w:tcPr>
          <w:p>
            <w:r>
              <w:t>Aderência ao cronograma</w:t>
            </w:r>
          </w:p>
        </w:tc>
        <w:tc>
          <w:tcPr>
            <w:tcW w:type="dxa" w:w="2160"/>
          </w:tcPr>
          <w:p>
            <w:r>
              <w:t>≥ 85% das entregas no prazo</w:t>
            </w:r>
          </w:p>
        </w:tc>
        <w:tc>
          <w:tcPr>
            <w:tcW w:type="dxa" w:w="2160"/>
          </w:tcPr>
          <w:p>
            <w:r>
              <w:t>MED (M1) / RAC</w:t>
            </w:r>
          </w:p>
        </w:tc>
      </w:tr>
      <w:tr>
        <w:tc>
          <w:tcPr>
            <w:tcW w:type="dxa" w:w="2160"/>
          </w:tcPr>
          <w:p>
            <w:r>
              <w:t>MQ-2</w:t>
            </w:r>
          </w:p>
        </w:tc>
        <w:tc>
          <w:tcPr>
            <w:tcW w:type="dxa" w:w="2160"/>
          </w:tcPr>
          <w:p>
            <w:r>
              <w:t>Desvio de esforço</w:t>
            </w:r>
          </w:p>
        </w:tc>
        <w:tc>
          <w:tcPr>
            <w:tcW w:type="dxa" w:w="2160"/>
          </w:tcPr>
          <w:p>
            <w:r>
              <w:t>≤ 20%</w:t>
            </w:r>
          </w:p>
        </w:tc>
        <w:tc>
          <w:tcPr>
            <w:tcW w:type="dxa" w:w="2160"/>
          </w:tcPr>
          <w:p>
            <w:r>
              <w:t>MED (M2)</w:t>
            </w:r>
          </w:p>
        </w:tc>
      </w:tr>
      <w:tr>
        <w:tc>
          <w:tcPr>
            <w:tcW w:type="dxa" w:w="2160"/>
          </w:tcPr>
          <w:p>
            <w:r>
              <w:t>MQ-3</w:t>
            </w:r>
          </w:p>
        </w:tc>
        <w:tc>
          <w:tcPr>
            <w:tcW w:type="dxa" w:w="2160"/>
          </w:tcPr>
          <w:p>
            <w:r>
              <w:t>Defeitos escapados para produção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REL-VV / MED (M4)</w:t>
            </w:r>
          </w:p>
        </w:tc>
      </w:tr>
      <w:tr>
        <w:tc>
          <w:tcPr>
            <w:tcW w:type="dxa" w:w="2160"/>
          </w:tcPr>
          <w:p>
            <w:r>
              <w:t>MQ-4</w:t>
            </w:r>
          </w:p>
        </w:tc>
        <w:tc>
          <w:tcPr>
            <w:tcW w:type="dxa" w:w="2160"/>
          </w:tcPr>
          <w:p>
            <w:r>
              <w:t>Taxa de contenção de defeitos (corrigidos antes da implantação)</w:t>
            </w:r>
          </w:p>
        </w:tc>
        <w:tc>
          <w:tcPr>
            <w:tcW w:type="dxa" w:w="2160"/>
          </w:tcPr>
          <w:p>
            <w:r>
              <w:t>≥ 95%</w:t>
            </w:r>
          </w:p>
        </w:tc>
        <w:tc>
          <w:tcPr>
            <w:tcW w:type="dxa" w:w="2160"/>
          </w:tcPr>
          <w:p>
            <w:r>
              <w:t>REL-VV / MED (M5)</w:t>
            </w:r>
          </w:p>
        </w:tc>
      </w:tr>
      <w:tr>
        <w:tc>
          <w:tcPr>
            <w:tcW w:type="dxa" w:w="2160"/>
          </w:tcPr>
          <w:p>
            <w:r>
              <w:t>MQ-5</w:t>
            </w:r>
          </w:p>
        </w:tc>
        <w:tc>
          <w:tcPr>
            <w:tcW w:type="dxa" w:w="2160"/>
          </w:tcPr>
          <w:p>
            <w:r>
              <w:t>Retrabalho</w:t>
            </w:r>
          </w:p>
        </w:tc>
        <w:tc>
          <w:tcPr>
            <w:tcW w:type="dxa" w:w="2160"/>
          </w:tcPr>
          <w:p>
            <w:r>
              <w:t>≤ 5% do esforço</w:t>
            </w:r>
          </w:p>
        </w:tc>
        <w:tc>
          <w:tcPr>
            <w:tcW w:type="dxa" w:w="2160"/>
          </w:tcPr>
          <w:p>
            <w:r>
              <w:t>MED (M6)</w:t>
            </w:r>
          </w:p>
        </w:tc>
      </w:tr>
      <w:tr>
        <w:tc>
          <w:tcPr>
            <w:tcW w:type="dxa" w:w="2160"/>
          </w:tcPr>
          <w:p>
            <w:r>
              <w:t>MQ-6</w:t>
            </w:r>
          </w:p>
        </w:tc>
        <w:tc>
          <w:tcPr>
            <w:tcW w:type="dxa" w:w="2160"/>
          </w:tcPr>
          <w:p>
            <w:r>
              <w:t>Conformidade de processo (auditoria de GQA)</w:t>
            </w:r>
          </w:p>
        </w:tc>
        <w:tc>
          <w:tcPr>
            <w:tcW w:type="dxa" w:w="2160"/>
          </w:tcPr>
          <w:p>
            <w:r>
              <w:t>100% dos itens conformes</w:t>
            </w:r>
          </w:p>
        </w:tc>
        <w:tc>
          <w:tcPr>
            <w:tcW w:type="dxa" w:w="2160"/>
          </w:tcPr>
          <w:p>
            <w:r>
              <w:t>GQA-AASPAP01-001</w:t>
            </w:r>
          </w:p>
        </w:tc>
      </w:tr>
      <w:tr>
        <w:tc>
          <w:tcPr>
            <w:tcW w:type="dxa" w:w="2160"/>
          </w:tcPr>
          <w:p>
            <w:r>
              <w:t>MQ-7</w:t>
            </w:r>
          </w:p>
        </w:tc>
        <w:tc>
          <w:tcPr>
            <w:tcW w:type="dxa" w:w="2160"/>
          </w:tcPr>
          <w:p>
            <w:r>
              <w:t>Cobertura de requisitos por teste</w:t>
            </w:r>
          </w:p>
        </w:tc>
        <w:tc>
          <w:tcPr>
            <w:tcW w:type="dxa" w:w="2160"/>
          </w:tcPr>
          <w:p>
            <w:r>
              <w:t>100% (RF01–RF12 com cenário de teste)</w:t>
            </w:r>
          </w:p>
        </w:tc>
        <w:tc>
          <w:tcPr>
            <w:tcW w:type="dxa" w:w="2160"/>
          </w:tcPr>
          <w:p>
            <w:r>
              <w:t>RASTR / VV / REL-VV</w:t>
            </w:r>
          </w:p>
        </w:tc>
      </w:tr>
    </w:tbl>
    <w:p>
      <w:pPr>
        <w:pStyle w:val="Heading2"/>
      </w:pPr>
      <w:r>
        <w:t>3. Critérios de qualidade funcionais (refatoração cirúrgica)</w:t>
      </w:r>
    </w:p>
    <w:p>
      <w:r>
        <w:t>- Zero regressão no fluxo EPROC/ESAJ em produção durante a transição (verificado pelo CT-12).</w:t>
      </w:r>
    </w:p>
    <w:p>
      <w:r>
        <w:t>- Rastreabilidade: todo estado de processamento registrado com data, status e observação de erro (RNF02).</w:t>
      </w:r>
    </w:p>
    <w:p>
      <w:r>
        <w:t>- Idempotência/resiliência: reenvio (retry) do webhook sem perda nem duplicidade (RNF04).</w:t>
      </w:r>
    </w:p>
    <w:p>
      <w:r>
        <w:t>- Histórico de movimentações por instância sem sobrescrita (inativação + criação).</w:t>
      </w:r>
    </w:p>
    <w:p>
      <w:r>
        <w:t>- Tratamento de erro e de segredo de justiça por instância, sem afetar instâncias não restritas.</w:t>
      </w:r>
    </w:p>
    <w:p>
      <w:pPr>
        <w:pStyle w:val="Heading2"/>
      </w:pPr>
      <w:r>
        <w:t>4. Definição de Pronto (DoD)</w:t>
      </w:r>
    </w:p>
    <w:p>
      <w:r>
        <w:t>Uma entrega é considerada pronta quando: (i) o código foi revisado por Merge Request com ao menos 1 revisor além do autor (ver REV); (ii) os cenários de teste da fase foram aprovados (ver VV/REL-VV); (iii) não há defeito aberto de severidade alta; (iv) a baseline de configuração foi registrada no GitLab (ver GCO).</w:t>
      </w:r>
    </w:p>
    <w:p>
      <w:pPr>
        <w:pStyle w:val="Heading2"/>
      </w:pPr>
      <w:r>
        <w:t>5. Governança das metas</w:t>
      </w:r>
    </w:p>
    <w:p>
      <w:r>
        <w:t>As metas são medidas e reportadas na Medição (MED-AASPAP01-001), verificadas na auditoria de GQA (GQA-AASPAP01-001) e acompanhadas nas atas de acompanhamento por fase. Desvios e ações corretivas são tratados via Change Request (CR) e registrados no RAC.</w:t>
      </w:r>
    </w:p>
    <w:p>
      <w:pPr>
        <w:pStyle w:val="Heading2"/>
      </w:pPr>
      <w: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Versão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Autor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15/12/2025</w:t>
            </w:r>
          </w:p>
        </w:tc>
        <w:tc>
          <w:tcPr>
            <w:tcW w:type="dxa" w:w="2160"/>
          </w:tcPr>
          <w:p>
            <w:r>
              <w:t>Gerente de Projeto</w:t>
            </w:r>
          </w:p>
        </w:tc>
        <w:tc>
          <w:tcPr>
            <w:tcW w:type="dxa" w:w="2160"/>
          </w:tcPr>
          <w:p>
            <w:r>
              <w:t>Definição das metas de qualidade do projeto no kickoff (alvos de prazo, esforço, defeitos, contenção, retrabalho, conformidade de processo e cobertura de testes).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