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Junho/2026 — Fase 5 (Implantação)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(Representante / Sponsor / PO — AASP); Patrocinador interno (Timeware)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Desenvolvimento concluído (Fases 1–4); o projeto está em implantação em produção (Fase 5), com encerramento previsto para 30/06/2026.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Atenção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de ~30 dias na Fase 4 por escopo adicional acordado (CR-AASPAP01-002)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mudança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de homologação EPROC/ESAJ (CR-001) e de tratamento de erros/segredo na Fase 4 (CR-002), ambos acordados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inconsistente das parceiras (R-02) e falhas transitórias do webhook (R-05) tratados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defeitos identificados e 100% contidos antes da implantação; 0 defeitos escapados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do período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refatoração para o modelo multi-fonte está concluída e validada: fila unificada WorkerAndamentos, webhook de indexação multi-fonte, histórico de movimentações por instância, verificação e desligamento nas APIs parceiras após captura via CNJ e controle de erros e segredo por instância. Os 12 cenários de teste (CT-01 a CT-12) foram 100% aprovados, incluindo a regressão do fluxo EPROC/ESAJ em produção. No período corrente, o foco é a montagem dos pacotes de GMUD e o deploy em produção.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Indicadores do período (destaque):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total realizado (parcial)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~362 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+9,7% (meta ≤ 20%)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Fases concluídas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de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contidos antes da implantação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(100% contidos)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Entregas realizadas no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/ valor para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unificada WorkerAndamentos (independente do tribunal)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preparado para múltiplas fontes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de indexação multi-fonte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a novas fontes sem alterar a serialização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instância (inativação)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preservado integralmente, sem sobrescrita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desligamento nas APIs parceiras pós-CNJ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duplo processamento na migração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erro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>) e segredo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>)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correto sem omissões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Planejado para o próximo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/ 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produção (pacotes GMUD)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com Infraestrutura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 e ata de aceite total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Indicadores do projeto (acompanhamento)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/ 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 no prazo (aderência ao cronograma)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85%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~91%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(estimado × realizado)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20%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+9,7% (~362 h vs. ~348 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GQA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(21/21 itens conformes)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Diário de bordo (eventos e impactos)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 / motivo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Incorporação de Mateus Veloso (suporte ao desenvolvimento)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Reforço de equipe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dos campos do modelo no webhook multi-fonte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técnico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inconsistente das parceiras nos endpoints de exclusão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Externo (parceiras)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por parceira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(R-02)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Mai–Jun/2026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Fase 4 (Observacao, Segredo, CodigoFonteAPI)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c/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~30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(CR-002, BUG-02..05)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Atividades de finalização e implantação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curso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Pontos de atenção, riscos e plano de 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Comportamento heterogêneo das APIs parceiras</w:t>
      </w:r>
      <w:r>
        <w:rPr>
          <w:rFonts w:ascii="Calibri" w:hAnsi="Calibri"/>
          <w:b w:val="0"/>
          <w:i w:val="0"/>
          <w:sz w:val="22"/>
        </w:rPr>
        <w:t xml:space="preserve"> — 🟡 Médio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Ponto:</w:t>
      </w:r>
      <w:r>
        <w:rPr>
          <w:rFonts w:ascii="Calibri" w:hAnsi="Calibri"/>
          <w:b w:val="0"/>
          <w:i w:val="0"/>
          <w:sz w:val="22"/>
        </w:rPr>
        <w:t xml:space="preserve"> as parceiras (Solucionário, Botmax) têm estruturas e endpoints de exclusão diferentes.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retorno inconsistente na verificação/desligamento do NUP.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Ação:</w:t>
      </w:r>
      <w:r>
        <w:rPr>
          <w:rFonts w:ascii="Calibri" w:hAnsi="Calibri"/>
          <w:b w:val="0"/>
          <w:i w:val="0"/>
          <w:sz w:val="22"/>
        </w:rPr>
        <w:t xml:space="preserve"> controladores específicos por parceira com interface comum e registro do retorno (R-02, decisão D06).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de segredo de justiça por instância</w:t>
      </w:r>
      <w:r>
        <w:rPr>
          <w:rFonts w:ascii="Calibri" w:hAnsi="Calibri"/>
          <w:b w:val="0"/>
          <w:i w:val="0"/>
          <w:sz w:val="22"/>
        </w:rPr>
        <w:t xml:space="preserve"> — 🟡 Médio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Ponto:</w:t>
      </w:r>
      <w:r>
        <w:rPr>
          <w:rFonts w:ascii="Calibri" w:hAnsi="Calibri"/>
          <w:b w:val="0"/>
          <w:i w:val="0"/>
          <w:sz w:val="22"/>
        </w:rPr>
        <w:t xml:space="preserve"> um processo pode estar em segredo em uma instância e não em outra.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tratamento incorreto se o segredo for controlado por processo.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Ação:</w:t>
      </w:r>
      <w:r>
        <w:rPr>
          <w:rFonts w:ascii="Calibri" w:hAnsi="Calibri"/>
          <w:b w:val="0"/>
          <w:i w:val="0"/>
          <w:sz w:val="22"/>
        </w:rPr>
        <w:t xml:space="preserve"> 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 por instância em 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 (decisão D07).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Mudanças (change requests)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final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CR-AASPAP01-001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de homologação EPROC/ESAJ e devolutiva aos associados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+~42 h (absorvido na Fase 2)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(acordada com o cliente)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CR-AASPAP01-002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Fase 4: campos Observacao e Segredo, desmembramento do RunUpdater e tratamentos de erro por instância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+~8 h · atraso ~30 dias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(acordada com o cliente)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Decisões necessárias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necessária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 desejado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da data de aceite formal total e do go-live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Cadência de reporte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Periodicidade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Por marco/fase, com atividades de alinhamento registradas no GitLab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+ devolutivas ao cliente por fase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 (Fase 5) consolidado a partir do Registro de Projeto AASP_AndamentosProcessuais (REG-AASPAP01-001 v1.0, 08/06/2026) e do levantamento de projeto (GEST-AASPAP01).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Marcos Correa Fernandez Turnes (AASP)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Marcos Correa Fernandez Turnes (AASP)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RAC-AASPAP01-001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