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Evidências Técnicas — Projeto AASP_CNJ (Agente de Captura de Andamentos Processuais)</w:t>
      </w:r>
    </w:p>
    <w:p>
      <w:pPr>
        <w:pStyle w:val="Heading1"/>
      </w:pPr>
      <w:r>
        <w:t>Fonte: GitLab (self-hosted)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Para</w:t>
            </w:r>
          </w:p>
        </w:tc>
        <w:tc>
          <w:tcPr>
            <w:tcW w:type="dxa" w:w="4320"/>
          </w:tcPr>
          <w:p>
            <w:r>
              <w:t>Raony Chagas (Desenvolvedor Sênior / Principal)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</w:t>
            </w:r>
          </w:p>
        </w:tc>
        <w:tc>
          <w:tcPr>
            <w:tcW w:type="dxa" w:w="4320"/>
          </w:tcPr>
          <w:p>
            <w:r>
              <w:t>Abraão Oliveira (GP / Responsável MPS-SW)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17/06/2026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AASPCNJ01 — Agente de Captura de Andamentos Processuais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Fonte das evidências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GitLab self-hosted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http://191.234.192.153/aasp/cnj</w:t>
            </w:r>
          </w:p>
        </w:tc>
      </w:tr>
    </w:tbl>
    <w:p/>
    <w:p>
      <w:pPr>
        <w:pStyle w:val="Heading2"/>
      </w:pPr>
      <w:r>
        <w:t>Contexto</w:t>
      </w:r>
    </w:p>
    <w:p>
      <w:r>
        <w:t xml:space="preserve">Este documento substitui a fonte das evidências técnicas: o que antes era coletado em </w:t>
      </w:r>
      <w:r>
        <w:rPr>
          <w:b/>
        </w:rPr>
        <w:t>Azure DevOps</w:t>
      </w:r>
      <w:r>
        <w:t xml:space="preserve"> (repositórios, PRs, pipelines, tags) e </w:t>
      </w:r>
      <w:r>
        <w:rPr>
          <w:b/>
        </w:rPr>
        <w:t>ClickUp</w:t>
      </w:r>
      <w:r>
        <w:t xml:space="preserve"> (cards/bugs/horas) passa a ser extraído do </w:t>
      </w:r>
      <w:r>
        <w:rPr>
          <w:b/>
        </w:rPr>
        <w:t>GitLab self-hosted</w:t>
      </w:r>
      <w:r>
        <w:t xml:space="preserve"> da Timeware, onde o projeto foi consolidado. A estrutura por documento (PCP, ITP, GCO, VV, RASTR, MED, GDE, CAP) é a mesma — </w:t>
      </w:r>
      <w:r>
        <w:rPr>
          <w:b/>
        </w:rPr>
        <w:t>apenas a origem da evidência mudou</w:t>
      </w:r>
      <w:r>
        <w:t>.</w:t>
      </w:r>
    </w:p>
    <w:p>
      <w:r>
        <w:rPr>
          <w:b/>
        </w:rPr>
        <w:t>Projeto no GitLab:</w:t>
      </w:r>
      <w:r>
        <w:t xml:space="preserve"> </w:t>
      </w:r>
      <w:r>
        <w:rPr>
          <w:rFonts w:ascii="Consolas" w:hAnsi="Consolas"/>
          <w:sz w:val="19"/>
        </w:rPr>
        <w:t>http://191.234.192.153/aasp/cnj</w:t>
      </w:r>
      <w:r>
        <w:t xml:space="preserve"> (branch padrão </w:t>
      </w:r>
      <w:r>
        <w:rPr>
          <w:rFonts w:ascii="Consolas" w:hAnsi="Consolas"/>
          <w:sz w:val="19"/>
        </w:rPr>
        <w:t>prod</w:t>
      </w:r>
      <w:r>
        <w:t>).</w:t>
      </w:r>
    </w:p>
    <w:p>
      <w:r>
        <w:t xml:space="preserve">Estado conferido (17/06/2026): repositório único com as soluções </w:t>
      </w:r>
      <w:r>
        <w:rPr>
          <w:b/>
        </w:rPr>
        <w:t>`CapturaServices/`</w:t>
      </w:r>
      <w:r>
        <w:t xml:space="preserve"> e </w:t>
      </w:r>
      <w:r>
        <w:rPr>
          <w:b/>
        </w:rPr>
        <w:t>`WorkerAndamentos/`</w:t>
      </w:r>
      <w:r>
        <w:t xml:space="preserve">; </w:t>
      </w:r>
      <w:r>
        <w:rPr>
          <w:b/>
        </w:rPr>
        <w:t>21 branches</w:t>
      </w:r>
      <w:r>
        <w:t xml:space="preserve"> (GitFlow: </w:t>
      </w:r>
      <w:r>
        <w:rPr>
          <w:rFonts w:ascii="Consolas" w:hAnsi="Consolas"/>
          <w:sz w:val="19"/>
        </w:rPr>
        <w:t>prod</w:t>
      </w:r>
      <w:r>
        <w:t xml:space="preserve">, </w:t>
      </w:r>
      <w:r>
        <w:rPr>
          <w:rFonts w:ascii="Consolas" w:hAnsi="Consolas"/>
          <w:sz w:val="19"/>
        </w:rPr>
        <w:t>homolog</w:t>
      </w:r>
      <w:r>
        <w:t xml:space="preserve">, </w:t>
      </w:r>
      <w:r>
        <w:rPr>
          <w:rFonts w:ascii="Consolas" w:hAnsi="Consolas"/>
          <w:sz w:val="19"/>
        </w:rPr>
        <w:t>develop</w:t>
      </w:r>
      <w:r>
        <w:t xml:space="preserve">, </w:t>
      </w:r>
      <w:r>
        <w:rPr>
          <w:rFonts w:ascii="Consolas" w:hAnsi="Consolas"/>
          <w:sz w:val="19"/>
        </w:rPr>
        <w:t>feature/NN-*</w:t>
      </w:r>
      <w:r>
        <w:t xml:space="preserve">, </w:t>
      </w:r>
      <w:r>
        <w:rPr>
          <w:rFonts w:ascii="Consolas" w:hAnsi="Consolas"/>
          <w:sz w:val="19"/>
        </w:rPr>
        <w:t>release/v220..v240</w:t>
      </w:r>
      <w:r>
        <w:t xml:space="preserve">, </w:t>
      </w:r>
      <w:r>
        <w:rPr>
          <w:rFonts w:ascii="Consolas" w:hAnsi="Consolas"/>
          <w:sz w:val="19"/>
        </w:rPr>
        <w:t>hotfix/v241</w:t>
      </w:r>
      <w:r>
        <w:t xml:space="preserve">); </w:t>
      </w:r>
      <w:r>
        <w:rPr>
          <w:b/>
        </w:rPr>
        <w:t>21 merge requests</w:t>
      </w:r>
      <w:r>
        <w:t xml:space="preserve"> (20 merged + 1 aberto = US-18 GMUD); </w:t>
      </w:r>
      <w:r>
        <w:rPr>
          <w:b/>
        </w:rPr>
        <w:t>40 work items</w:t>
      </w:r>
      <w:r>
        <w:t xml:space="preserve"> (20 histórias US-xx, 10 bugs BUG-xx, 7 decisões D-xx, 2 CR, 1 ATA); </w:t>
      </w:r>
      <w:r>
        <w:rPr>
          <w:b/>
        </w:rPr>
        <w:t>12 milestones</w:t>
      </w:r>
      <w:r>
        <w:t xml:space="preserve"> (Discovery + Sprints 1–11); </w:t>
      </w:r>
      <w:r>
        <w:rPr>
          <w:b/>
        </w:rPr>
        <w:t>5 tags/releases</w:t>
      </w:r>
      <w:r>
        <w:t xml:space="preserve"> de baseline; </w:t>
      </w:r>
      <w:r>
        <w:rPr>
          <w:b/>
        </w:rPr>
        <w:t>15 pipelines</w:t>
      </w:r>
      <w:r>
        <w:t xml:space="preserve"> verdes (</w:t>
      </w:r>
      <w:r>
        <w:rPr>
          <w:rFonts w:ascii="Consolas" w:hAnsi="Consolas"/>
          <w:sz w:val="19"/>
        </w:rPr>
        <w:t>build → test → deploy</w:t>
      </w:r>
      <w:r>
        <w:t>).</w:t>
      </w:r>
    </w:p>
    <w:p>
      <w:r>
        <w:rPr>
          <w:b/>
        </w:rPr>
        <w:t>Permanecem em ferramenta de runtime</w:t>
      </w:r>
      <w:r>
        <w:t xml:space="preserve"> (não há equivalente em versionamento): estado no banco (SSMS), índice Elasticsearch/Kibana, fila RabbitMQ Management, relatório de horas (ClickUp) e contrato/custo. Onde há registro equivalente no GitLab (bug, história, decisão, código da feature), ele está indicado.</w:t>
      </w:r>
    </w:p>
    <w:p>
      <w:pPr>
        <w:pStyle w:val="Heading2"/>
      </w:pPr>
      <w:r>
        <w:t>1. PCP — Documento de Design (arquitetura)</w:t>
      </w:r>
    </w:p>
    <w:p>
      <w:pPr>
        <w:pStyle w:val="Heading3"/>
      </w:pPr>
      <w:r>
        <w:t>1.1 Arquitetura da solução (PCP §2.1)</w:t>
      </w:r>
    </w:p>
    <w:p>
      <w:r>
        <w:rPr>
          <w:b/>
        </w:rPr>
        <w:t>O documento afirma:</w:t>
      </w:r>
      <w:r>
        <w:t xml:space="preserve"> CapturaServer + WorkerAndamentos + RabbitMQ + webhook → API AndamentosProcessuais → Elasticsearch.</w:t>
      </w:r>
    </w:p>
    <w:p>
      <w:r>
        <w:rPr>
          <w:b/>
        </w:rPr>
        <w:t>Evidência no GitLab:</w:t>
      </w:r>
      <w:r>
        <w:t xml:space="preserve"> estrutura das soluções no repositório — </w:t>
      </w:r>
      <w:r>
        <w:rPr>
          <w:rFonts w:ascii="Consolas" w:hAnsi="Consolas"/>
          <w:sz w:val="19"/>
        </w:rPr>
        <w:t>CapturaServices/</w:t>
      </w:r>
      <w:r>
        <w:t xml:space="preserve"> e </w:t>
      </w:r>
      <w:r>
        <w:rPr>
          <w:rFonts w:ascii="Consolas" w:hAnsi="Consolas"/>
          <w:sz w:val="19"/>
        </w:rPr>
        <w:t>WorkerAndamentos/</w:t>
      </w:r>
      <w:r>
        <w:t xml:space="preserve"> (+ </w:t>
      </w:r>
      <w:r>
        <w:rPr>
          <w:rFonts w:ascii="Consolas" w:hAnsi="Consolas"/>
          <w:sz w:val="19"/>
        </w:rPr>
        <w:t>WorkersAndamentos.sln</w:t>
      </w:r>
      <w:r>
        <w:t>).</w:t>
      </w:r>
    </w:p>
    <w:p>
      <w:r>
        <w:rPr>
          <w:rFonts w:ascii="Consolas" w:hAnsi="Consolas"/>
          <w:sz w:val="19"/>
        </w:rPr>
        <w:t>http://191.234.192.153/aasp/cnj/-/tree/prod</w:t>
      </w:r>
    </w:p>
    <w:p>
      <w:r>
        <w:rPr>
          <w:b/>
        </w:rPr>
        <w:t>Complemento externo:</w:t>
      </w:r>
      <w:r>
        <w:t xml:space="preserve"> diagrama de fluxo (se houver, anexar ao PCP). A API AndamentosProcessuais (lado do webhook/indexação) está em </w:t>
      </w:r>
      <w:r>
        <w:rPr>
          <w:rFonts w:ascii="Consolas" w:hAnsi="Consolas"/>
          <w:sz w:val="19"/>
        </w:rPr>
        <w:t>http://191.234.192.153/aasp/andamentosprocessuais</w:t>
      </w:r>
      <w:r>
        <w:t>.</w:t>
      </w:r>
    </w:p>
    <w:p>
      <w:pPr>
        <w:pStyle w:val="Heading3"/>
      </w:pPr>
      <w:r>
        <w:t>1.2 Tabelas de controle (PCP §2.2)</w:t>
      </w:r>
    </w:p>
    <w:p>
      <w:r>
        <w:rPr>
          <w:b/>
        </w:rPr>
        <w:t>O documento afirma:</w:t>
      </w:r>
      <w:r>
        <w:t xml:space="preserve"> </w:t>
      </w:r>
      <w:r>
        <w:rPr>
          <w:rFonts w:ascii="Consolas" w:hAnsi="Consolas"/>
          <w:sz w:val="19"/>
        </w:rPr>
        <w:t>ProcessoCaptura</w:t>
      </w:r>
      <w:r>
        <w:t xml:space="preserve">, </w:t>
      </w:r>
      <w:r>
        <w:rPr>
          <w:rFonts w:ascii="Consolas" w:hAnsi="Consolas"/>
          <w:sz w:val="19"/>
        </w:rPr>
        <w:t>ProcessoCapturaLogin</w:t>
      </w:r>
      <w:r>
        <w:t xml:space="preserve">, </w:t>
      </w:r>
      <w:r>
        <w:rPr>
          <w:rFonts w:ascii="Consolas" w:hAnsi="Consolas"/>
          <w:sz w:val="19"/>
        </w:rPr>
        <w:t>ProcessoCapturaMovimentacaoStatus</w:t>
      </w:r>
      <w:r>
        <w:t xml:space="preserve">, </w:t>
      </w:r>
      <w:r>
        <w:rPr>
          <w:rFonts w:ascii="Consolas" w:hAnsi="Consolas"/>
          <w:sz w:val="19"/>
        </w:rPr>
        <w:t>PonteAPI</w:t>
      </w:r>
      <w:r>
        <w:t>.</w:t>
      </w:r>
    </w:p>
    <w:p>
      <w:r>
        <w:rPr>
          <w:b/>
        </w:rPr>
        <w:t>Evidência:</w:t>
      </w:r>
      <w:r>
        <w:t xml:space="preserve"> o schema/DDL não está versionado no repositório do CNJ (pasta </w:t>
      </w:r>
      <w:r>
        <w:rPr>
          <w:rFonts w:ascii="Consolas" w:hAnsi="Consolas"/>
          <w:sz w:val="19"/>
        </w:rPr>
        <w:t>db/</w:t>
      </w:r>
      <w:r>
        <w:t xml:space="preserve"> vazia) — a evidência das tabelas </w:t>
      </w:r>
      <w:r>
        <w:rPr>
          <w:b/>
        </w:rPr>
        <w:t>permanece no banco</w:t>
      </w:r>
      <w:r>
        <w:t xml:space="preserve"> (script </w:t>
      </w:r>
      <w:r>
        <w:rPr>
          <w:rFonts w:ascii="Consolas" w:hAnsi="Consolas"/>
          <w:sz w:val="19"/>
        </w:rPr>
        <w:t>CREATE</w:t>
      </w:r>
      <w:r>
        <w:t xml:space="preserve"> / print de colunas via SSMS/Azure Data Studio). *(Se desejar centralizar no GitLab, posso adicionar o DDL em </w:t>
      </w:r>
      <w:r>
        <w:rPr>
          <w:rFonts w:ascii="Consolas" w:hAnsi="Consolas"/>
          <w:sz w:val="19"/>
        </w:rPr>
        <w:t>/db</w:t>
      </w:r>
      <w:r>
        <w:t xml:space="preserve"> do repositório.)*</w:t>
      </w:r>
    </w:p>
    <w:p>
      <w:pPr>
        <w:pStyle w:val="Heading3"/>
      </w:pPr>
      <w:r>
        <w:t>1.3 Roteamento por CodigoFonteAPI e fallback (PCP §2.4/2.5 · RF-01, RF-02, RF-07 · US-04, US-09, US-11)</w:t>
      </w:r>
    </w:p>
    <w:p>
      <w:r>
        <w:rPr>
          <w:b/>
        </w:rPr>
        <w:t>O documento afirma:</w:t>
      </w:r>
      <w:r>
        <w:t xml:space="preserve"> roteamento por </w:t>
      </w:r>
      <w:r>
        <w:rPr>
          <w:rFonts w:ascii="Consolas" w:hAnsi="Consolas"/>
          <w:sz w:val="19"/>
        </w:rPr>
        <w:t>CodigoFonteAPI</w:t>
      </w:r>
      <w:r>
        <w:t xml:space="preserve"> + fallback em 3 níveis (CNJ → EPROC/ESAJ → parceiras por prioridade).</w:t>
      </w:r>
    </w:p>
    <w:p>
      <w:r>
        <w:rPr>
          <w:b/>
        </w:rPr>
        <w:t>Evidência no GitLab:</w:t>
      </w:r>
      <w:r>
        <w:t xml:space="preserve"> branch/feature do roteamento e do fallback:</w:t>
      </w:r>
    </w:p>
    <w:p>
      <w:pPr>
        <w:pStyle w:val="ListBullet"/>
      </w:pPr>
      <w:r>
        <w:rPr>
          <w:rFonts w:ascii="Consolas" w:hAnsi="Consolas"/>
          <w:sz w:val="19"/>
        </w:rPr>
        <w:t>feature/16-codigofonteapi</w:t>
      </w:r>
      <w:r>
        <w:t xml:space="preserve"> → </w:t>
      </w:r>
      <w:r>
        <w:rPr>
          <w:rFonts w:ascii="Consolas" w:hAnsi="Consolas"/>
          <w:sz w:val="19"/>
        </w:rPr>
        <w:t>http://191.234.192.153/aasp/cnj/-/tree/feature/16-codigofonteapi</w:t>
      </w:r>
    </w:p>
    <w:p>
      <w:pPr>
        <w:pStyle w:val="ListBullet"/>
      </w:pPr>
      <w:r>
        <w:rPr>
          <w:rFonts w:ascii="Consolas" w:hAnsi="Consolas"/>
          <w:sz w:val="19"/>
        </w:rPr>
        <w:t>feature/20-parceiras-fallback</w:t>
      </w:r>
      <w:r>
        <w:t xml:space="preserve"> → </w:t>
      </w:r>
      <w:r>
        <w:rPr>
          <w:rFonts w:ascii="Consolas" w:hAnsi="Consolas"/>
          <w:sz w:val="19"/>
        </w:rPr>
        <w:t>http://191.234.192.153/aasp/cnj/-/tree/feature/20-parceiras-fallback</w:t>
      </w:r>
    </w:p>
    <w:p>
      <w:r>
        <w:t xml:space="preserve">Código em </w:t>
      </w:r>
      <w:r>
        <w:rPr>
          <w:rFonts w:ascii="Consolas" w:hAnsi="Consolas"/>
          <w:sz w:val="19"/>
        </w:rPr>
        <w:t>CapturaServices/</w:t>
      </w:r>
      <w:r>
        <w:t xml:space="preserve"> (engine/roteamento da captura).</w:t>
      </w:r>
    </w:p>
    <w:p>
      <w:pPr>
        <w:pStyle w:val="Heading2"/>
      </w:pPr>
      <w:r>
        <w:t>2. ITP — Estratégia de Integração</w:t>
      </w:r>
    </w:p>
    <w:p>
      <w:pPr>
        <w:pStyle w:val="Heading3"/>
      </w:pPr>
      <w:r>
        <w:t>2.1 Integração DataJud/CNJ (ITP §1 · RF-01, RF-05 · US-04, US-05)</w:t>
      </w:r>
    </w:p>
    <w:p>
      <w:r>
        <w:rPr>
          <w:b/>
        </w:rPr>
        <w:t>Evidência no GitLab:</w:t>
      </w:r>
      <w:r>
        <w:t xml:space="preserve"> features da integração CNJ e do token Bearer compartilhado:</w:t>
      </w:r>
    </w:p>
    <w:p>
      <w:pPr>
        <w:pStyle w:val="ListBullet"/>
      </w:pPr>
      <w:r>
        <w:rPr>
          <w:rFonts w:ascii="Consolas" w:hAnsi="Consolas"/>
          <w:sz w:val="19"/>
        </w:rPr>
        <w:t>feature/14-cnj-datajud</w:t>
      </w:r>
      <w:r>
        <w:t xml:space="preserve"> → </w:t>
      </w:r>
      <w:r>
        <w:rPr>
          <w:rFonts w:ascii="Consolas" w:hAnsi="Consolas"/>
          <w:sz w:val="19"/>
        </w:rPr>
        <w:t>…/-/tree/feature/14-cnj-datajud</w:t>
      </w:r>
    </w:p>
    <w:p>
      <w:pPr>
        <w:pStyle w:val="ListBullet"/>
      </w:pPr>
      <w:r>
        <w:rPr>
          <w:rFonts w:ascii="Consolas" w:hAnsi="Consolas"/>
          <w:sz w:val="19"/>
        </w:rPr>
        <w:t>feature/15-token-cnj</w:t>
      </w:r>
      <w:r>
        <w:t xml:space="preserve"> → </w:t>
      </w:r>
      <w:r>
        <w:rPr>
          <w:rFonts w:ascii="Consolas" w:hAnsi="Consolas"/>
          <w:sz w:val="19"/>
        </w:rPr>
        <w:t>…/-/tree/feature/15-token-cnj</w:t>
      </w:r>
    </w:p>
    <w:p>
      <w:r>
        <w:t xml:space="preserve">Histórias: </w:t>
      </w:r>
      <w:r>
        <w:rPr>
          <w:b/>
        </w:rPr>
        <w:t>US-04</w:t>
      </w:r>
      <w:r>
        <w:t xml:space="preserve"> (DataJud/CNJ fonte primária) e </w:t>
      </w:r>
      <w:r>
        <w:rPr>
          <w:b/>
        </w:rPr>
        <w:t>US-05</w:t>
      </w:r>
      <w:r>
        <w:t xml:space="preserve"> (Token Bearer CNJ) — work items em </w:t>
      </w:r>
      <w:r>
        <w:rPr>
          <w:rFonts w:ascii="Consolas" w:hAnsi="Consolas"/>
          <w:sz w:val="19"/>
        </w:rPr>
        <w:t>…/-/issues?label_name[]=tipo::historia</w:t>
      </w:r>
      <w:r>
        <w:t>.</w:t>
      </w:r>
    </w:p>
    <w:p>
      <w:r>
        <w:rPr>
          <w:b/>
        </w:rPr>
        <w:t>Permanece externo:</w:t>
      </w:r>
      <w:r>
        <w:t xml:space="preserve"> coleção Postman da API CNJ (não versionada no repo) e a tabela </w:t>
      </w:r>
      <w:r>
        <w:rPr>
          <w:rFonts w:ascii="Consolas" w:hAnsi="Consolas"/>
          <w:sz w:val="19"/>
        </w:rPr>
        <w:t>PonteAPI</w:t>
      </w:r>
      <w:r>
        <w:t xml:space="preserve"> (runtime/banco).</w:t>
      </w:r>
    </w:p>
    <w:p>
      <w:pPr>
        <w:pStyle w:val="Heading3"/>
      </w:pPr>
      <w:r>
        <w:t>2.2 Fila RabbitMQ unificada (ITP §3 · RF-03, RF-12 · US-08, US-09)</w:t>
      </w:r>
    </w:p>
    <w:p>
      <w:r>
        <w:rPr>
          <w:b/>
        </w:rPr>
        <w:t>Evidência no GitLab:</w:t>
      </w:r>
      <w:r>
        <w:t xml:space="preserve"> </w:t>
      </w:r>
      <w:r>
        <w:rPr>
          <w:rFonts w:ascii="Consolas" w:hAnsi="Consolas"/>
          <w:sz w:val="19"/>
        </w:rPr>
        <w:t>feature/18-rabbitmq-fila</w:t>
      </w:r>
      <w:r>
        <w:t xml:space="preserve"> → </w:t>
      </w:r>
      <w:r>
        <w:rPr>
          <w:rFonts w:ascii="Consolas" w:hAnsi="Consolas"/>
          <w:sz w:val="19"/>
        </w:rPr>
        <w:t>…/-/tree/feature/18-rabbitmq-fila</w:t>
      </w:r>
      <w:r>
        <w:t xml:space="preserve"> (código do produtor/consumidor da fila unificada). Histórias </w:t>
      </w:r>
      <w:r>
        <w:rPr>
          <w:b/>
        </w:rPr>
        <w:t>US-08/US-09</w:t>
      </w:r>
      <w:r>
        <w:t>.</w:t>
      </w:r>
    </w:p>
    <w:p>
      <w:r>
        <w:rPr>
          <w:b/>
        </w:rPr>
        <w:t>Permanece externo:</w:t>
      </w:r>
      <w:r>
        <w:t xml:space="preserve"> print do RabbitMQ Management (fila/consumidores) é estado de runtime.</w:t>
      </w:r>
    </w:p>
    <w:p>
      <w:pPr>
        <w:pStyle w:val="Heading3"/>
      </w:pPr>
      <w:r>
        <w:t>2.3 Webhook → Elasticsearch (ITP §6 · RF-11 · US-07)</w:t>
      </w:r>
    </w:p>
    <w:p>
      <w:r>
        <w:rPr>
          <w:b/>
        </w:rPr>
        <w:t>Evidência no GitLab:</w:t>
      </w:r>
      <w:r>
        <w:t xml:space="preserve"> </w:t>
      </w:r>
      <w:r>
        <w:rPr>
          <w:rFonts w:ascii="Consolas" w:hAnsi="Consolas"/>
          <w:sz w:val="19"/>
        </w:rPr>
        <w:t>feature/17-webhook-indexacao</w:t>
      </w:r>
      <w:r>
        <w:t xml:space="preserve"> → </w:t>
      </w:r>
      <w:r>
        <w:rPr>
          <w:rFonts w:ascii="Consolas" w:hAnsi="Consolas"/>
          <w:sz w:val="19"/>
        </w:rPr>
        <w:t>…/-/tree/feature/17-webhook-indexacao</w:t>
      </w:r>
      <w:r>
        <w:t xml:space="preserve">; endpoint do webhook na API: </w:t>
      </w:r>
      <w:r>
        <w:rPr>
          <w:rFonts w:ascii="Consolas" w:hAnsi="Consolas"/>
          <w:sz w:val="19"/>
        </w:rPr>
        <w:t>http://191.234.192.153/aasp/andamentosprocessuais</w:t>
      </w:r>
      <w:r>
        <w:t>.</w:t>
      </w:r>
    </w:p>
    <w:p>
      <w:r>
        <w:rPr>
          <w:b/>
        </w:rPr>
        <w:t>Permanece externo:</w:t>
      </w:r>
      <w:r>
        <w:t xml:space="preserve"> documento indexado no Elasticsearch / log de indexação (runtime, Kibana).</w:t>
      </w:r>
    </w:p>
    <w:p>
      <w:pPr>
        <w:pStyle w:val="Heading3"/>
      </w:pPr>
      <w:r>
        <w:t>2.4 Pipeline CI/CD (ITP §4)</w:t>
      </w:r>
    </w:p>
    <w:p>
      <w:r>
        <w:rPr>
          <w:b/>
        </w:rPr>
        <w:t>Evidência no GitLab:</w:t>
      </w:r>
      <w:r>
        <w:t xml:space="preserve"> pipelines do projeto (15 execuções, todas </w:t>
      </w:r>
      <w:r>
        <w:rPr>
          <w:rFonts w:ascii="Consolas" w:hAnsi="Consolas"/>
          <w:sz w:val="19"/>
        </w:rPr>
        <w:t>success</w:t>
      </w:r>
      <w:r>
        <w:t xml:space="preserve">; estágios </w:t>
      </w:r>
      <w:r>
        <w:rPr>
          <w:rFonts w:ascii="Consolas" w:hAnsi="Consolas"/>
          <w:sz w:val="19"/>
        </w:rPr>
        <w:t>build → test → deploy</w:t>
      </w:r>
      <w:r>
        <w:t>):</w:t>
      </w:r>
    </w:p>
    <w:p>
      <w:r>
        <w:rPr>
          <w:rFonts w:ascii="Consolas" w:hAnsi="Consolas"/>
          <w:sz w:val="19"/>
        </w:rPr>
        <w:t>http://191.234.192.153/aasp/cnj/-/pipelines</w:t>
      </w:r>
    </w:p>
    <w:p>
      <w:pPr>
        <w:pStyle w:val="Heading2"/>
      </w:pPr>
      <w:r>
        <w:t>3. GCO — Gerência de Configuração</w:t>
      </w:r>
    </w:p>
    <w:p>
      <w:pPr>
        <w:pStyle w:val="Heading3"/>
      </w:pPr>
      <w:r>
        <w:t>3.1 Repositórios e GitFlow (GCO §2/§3)</w:t>
      </w:r>
    </w:p>
    <w:p>
      <w:r>
        <w:rPr>
          <w:b/>
        </w:rPr>
        <w:t>Evidência no GitLab:</w:t>
      </w:r>
      <w:r>
        <w:t xml:space="preserve"> branches no padrão GitFlow (</w:t>
      </w:r>
      <w:r>
        <w:rPr>
          <w:rFonts w:ascii="Consolas" w:hAnsi="Consolas"/>
          <w:sz w:val="19"/>
        </w:rPr>
        <w:t>prod</w:t>
      </w:r>
      <w:r>
        <w:t xml:space="preserve">, </w:t>
      </w:r>
      <w:r>
        <w:rPr>
          <w:rFonts w:ascii="Consolas" w:hAnsi="Consolas"/>
          <w:sz w:val="19"/>
        </w:rPr>
        <w:t>homolog</w:t>
      </w:r>
      <w:r>
        <w:t xml:space="preserve">, </w:t>
      </w:r>
      <w:r>
        <w:rPr>
          <w:rFonts w:ascii="Consolas" w:hAnsi="Consolas"/>
          <w:sz w:val="19"/>
        </w:rPr>
        <w:t>develop</w:t>
      </w:r>
      <w:r>
        <w:t xml:space="preserve">, </w:t>
      </w:r>
      <w:r>
        <w:rPr>
          <w:rFonts w:ascii="Consolas" w:hAnsi="Consolas"/>
          <w:sz w:val="19"/>
        </w:rPr>
        <w:t>feature/NN-*</w:t>
      </w:r>
      <w:r>
        <w:t xml:space="preserve">, </w:t>
      </w:r>
      <w:r>
        <w:rPr>
          <w:rFonts w:ascii="Consolas" w:hAnsi="Consolas"/>
          <w:sz w:val="19"/>
        </w:rPr>
        <w:t>release/v220..v240</w:t>
      </w:r>
      <w:r>
        <w:t xml:space="preserve">, </w:t>
      </w:r>
      <w:r>
        <w:rPr>
          <w:rFonts w:ascii="Consolas" w:hAnsi="Consolas"/>
          <w:sz w:val="19"/>
        </w:rPr>
        <w:t>hotfix/v241</w:t>
      </w:r>
      <w:r>
        <w:t>):</w:t>
      </w:r>
    </w:p>
    <w:p>
      <w:r>
        <w:rPr>
          <w:rFonts w:ascii="Consolas" w:hAnsi="Consolas"/>
          <w:sz w:val="19"/>
        </w:rPr>
        <w:t>http://191.234.192.153/aasp/cnj/-/branches</w:t>
      </w:r>
    </w:p>
    <w:p>
      <w:pPr>
        <w:pStyle w:val="Heading3"/>
      </w:pPr>
      <w:r>
        <w:t>3.2 Baseline / tag de versão (GCO §4)</w:t>
      </w:r>
    </w:p>
    <w:p>
      <w:r>
        <w:rPr>
          <w:b/>
        </w:rPr>
        <w:t>O documento afirma:</w:t>
      </w:r>
      <w:r>
        <w:t xml:space="preserve"> baseline de publicação </w:t>
      </w:r>
      <w:r>
        <w:rPr>
          <w:rFonts w:ascii="Consolas" w:hAnsi="Consolas"/>
          <w:sz w:val="19"/>
        </w:rPr>
        <w:t>v240</w:t>
      </w:r>
      <w:r>
        <w:t xml:space="preserve">. </w:t>
      </w:r>
      <w:r>
        <w:rPr>
          <w:b/>
        </w:rPr>
        <w:t>No GitLab a numeração é semântica</w:t>
      </w:r>
      <w:r>
        <w:t xml:space="preserve"> — a baseline de go-live do CNJ é a </w:t>
      </w:r>
      <w:r>
        <w:rPr>
          <w:b/>
        </w:rPr>
        <w:t>`v2.0.0` (BL-CNJ)</w:t>
      </w:r>
      <w:r>
        <w:t>.</w:t>
      </w:r>
    </w:p>
    <w:p>
      <w:r>
        <w:rPr>
          <w:b/>
        </w:rPr>
        <w:t>Evidência no GitLab:</w:t>
      </w:r>
      <w:r>
        <w:t xml:space="preserve"> tags + releases com data e commit:</w:t>
      </w:r>
    </w:p>
    <w:p>
      <w:r>
        <w:rPr>
          <w:rFonts w:ascii="Consolas" w:hAnsi="Consolas"/>
          <w:sz w:val="19"/>
        </w:rPr>
        <w:t>http://191.234.192.153/aasp/cnj/-/tags</w:t>
      </w:r>
      <w:r>
        <w:t xml:space="preserve"> · </w:t>
      </w:r>
      <w:r>
        <w:rPr>
          <w:rFonts w:ascii="Consolas" w:hAnsi="Consolas"/>
          <w:sz w:val="19"/>
        </w:rPr>
        <w:t>…/-/releases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BL-INFRA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v0.9.0</w:t>
            </w:r>
          </w:p>
        </w:tc>
        <w:tc>
          <w:tcPr>
            <w:tcW w:type="dxa" w:w="2880"/>
          </w:tcPr>
          <w:p>
            <w:r>
              <w:t>10/02/2026</w:t>
            </w:r>
          </w:p>
        </w:tc>
      </w:tr>
      <w:tr>
        <w:tc>
          <w:tcPr>
            <w:tcW w:type="dxa" w:w="2880"/>
          </w:tcPr>
          <w:p>
            <w:r>
              <w:t>BL-EPROC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v1.0.0</w:t>
            </w:r>
          </w:p>
        </w:tc>
        <w:tc>
          <w:tcPr>
            <w:tcW w:type="dxa" w:w="2880"/>
          </w:tcPr>
          <w:p>
            <w:r>
              <w:t>24/03/2026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BL-CNJ (go-live)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`v2.0.0`</w:t>
            </w:r>
          </w:p>
        </w:tc>
        <w:tc>
          <w:tcPr>
            <w:tcW w:type="dxa" w:w="2880"/>
          </w:tcPr>
          <w:p>
            <w:r>
              <w:t>01/06/2026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v2.0.1</w:t>
            </w:r>
          </w:p>
        </w:tc>
        <w:tc>
          <w:tcPr>
            <w:tcW w:type="dxa" w:w="2880"/>
          </w:tcPr>
          <w:p>
            <w:r>
              <w:t>02/06/2026</w:t>
            </w:r>
          </w:p>
        </w:tc>
      </w:tr>
      <w:tr>
        <w:tc>
          <w:tcPr>
            <w:tcW w:type="dxa" w:w="2880"/>
          </w:tcPr>
          <w:p>
            <w:r>
              <w:t>BL-HOTFIX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v2.0.2</w:t>
            </w:r>
          </w:p>
        </w:tc>
        <w:tc>
          <w:tcPr>
            <w:tcW w:type="dxa" w:w="2880"/>
          </w:tcPr>
          <w:p>
            <w:r>
              <w:t>05/06/2026</w:t>
            </w:r>
          </w:p>
        </w:tc>
      </w:tr>
    </w:tbl>
    <w:p/>
    <w:p>
      <w:pPr>
        <w:pStyle w:val="Heading3"/>
      </w:pPr>
      <w:r>
        <w:t>3.3 Pull Requests revisados (GCO §6 + REV — code review)</w:t>
      </w:r>
    </w:p>
    <w:p>
      <w:r>
        <w:rPr>
          <w:b/>
        </w:rPr>
        <w:t>O documento afirma:</w:t>
      </w:r>
      <w:r>
        <w:t xml:space="preserve"> merge para </w:t>
      </w:r>
      <w:r>
        <w:rPr>
          <w:rFonts w:ascii="Consolas" w:hAnsi="Consolas"/>
          <w:sz w:val="19"/>
        </w:rPr>
        <w:t>develop</w:t>
      </w:r>
      <w:r>
        <w:t>/</w:t>
      </w:r>
      <w:r>
        <w:rPr>
          <w:rFonts w:ascii="Consolas" w:hAnsi="Consolas"/>
          <w:sz w:val="19"/>
        </w:rPr>
        <w:t>prod</w:t>
      </w:r>
      <w:r>
        <w:t xml:space="preserve"> exige ≥ 1 revisor além do autor.</w:t>
      </w:r>
    </w:p>
    <w:p>
      <w:r>
        <w:rPr>
          <w:b/>
        </w:rPr>
        <w:t>Evidência no GitLab:</w:t>
      </w:r>
      <w:r>
        <w:t xml:space="preserve"> 21 merge requests com </w:t>
      </w:r>
      <w:r>
        <w:rPr>
          <w:b/>
        </w:rPr>
        <w:t>revisor vinculado</w:t>
      </w:r>
      <w:r>
        <w:t xml:space="preserve"> (revisão cruzada Raony ↔ Cezar):</w:t>
      </w:r>
    </w:p>
    <w:p>
      <w:r>
        <w:rPr>
          <w:rFonts w:ascii="Consolas" w:hAnsi="Consolas"/>
          <w:sz w:val="19"/>
        </w:rPr>
        <w:t>http://191.234.192.153/aasp/cnj/-/merge_requests?state=all</w:t>
      </w:r>
    </w:p>
    <w:p>
      <w:pPr>
        <w:pStyle w:val="ListBullet"/>
      </w:pPr>
      <w:r>
        <w:t xml:space="preserve">Ex.: </w:t>
      </w:r>
      <w:r>
        <w:rPr>
          <w:b/>
        </w:rPr>
        <w:t>MR !1</w:t>
      </w:r>
      <w:r>
        <w:t xml:space="preserve"> (</w:t>
      </w:r>
      <w:r>
        <w:rPr>
          <w:rFonts w:ascii="Consolas" w:hAnsi="Consolas"/>
          <w:sz w:val="19"/>
        </w:rPr>
        <w:t>feature/11-eproc-crawler</w:t>
      </w:r>
      <w:r>
        <w:t xml:space="preserve">, autor Raony, revisor Cezar) </w:t>
      </w:r>
      <w:r>
        <w:rPr>
          <w:rFonts w:ascii="Consolas" w:hAnsi="Consolas"/>
          <w:sz w:val="19"/>
        </w:rPr>
        <w:t>…/-/merge_requests/1</w:t>
      </w:r>
      <w:r>
        <w:t xml:space="preserve">; </w:t>
      </w:r>
      <w:r>
        <w:rPr>
          <w:b/>
        </w:rPr>
        <w:t>MR !8</w:t>
      </w:r>
      <w:r>
        <w:t xml:space="preserve"> (</w:t>
      </w:r>
      <w:r>
        <w:rPr>
          <w:rFonts w:ascii="Consolas" w:hAnsi="Consolas"/>
          <w:sz w:val="19"/>
        </w:rPr>
        <w:t>feature/18-rabbitmq-fila</w:t>
      </w:r>
      <w:r>
        <w:t xml:space="preserve">) ; </w:t>
      </w:r>
      <w:r>
        <w:rPr>
          <w:b/>
        </w:rPr>
        <w:t>MR !21</w:t>
      </w:r>
      <w:r>
        <w:t xml:space="preserve"> (</w:t>
      </w:r>
      <w:r>
        <w:rPr>
          <w:rFonts w:ascii="Consolas" w:hAnsi="Consolas"/>
          <w:sz w:val="19"/>
        </w:rPr>
        <w:t>feature/28-gmud-implantacao</w:t>
      </w:r>
      <w:r>
        <w:t xml:space="preserve"> — US-18, aberto/em andamento).</w:t>
      </w:r>
    </w:p>
    <w:p>
      <w:pPr>
        <w:pStyle w:val="IntenseQuote"/>
      </w:pPr>
      <w:r>
        <w:t xml:space="preserve">Estes mesmos MRs atendem o registro </w:t>
      </w:r>
      <w:r>
        <w:rPr>
          <w:b/>
        </w:rPr>
        <w:t>REV-AASPCNJ01-001</w:t>
      </w:r>
      <w:r>
        <w:t xml:space="preserve"> (revisão por pares / VV2).</w:t>
      </w:r>
    </w:p>
    <w:p>
      <w:pPr>
        <w:pStyle w:val="Heading2"/>
      </w:pPr>
      <w:r>
        <w:t>4. VV / REL-VV — Verificação e Validação</w:t>
      </w:r>
    </w:p>
    <w:p>
      <w:pPr>
        <w:pStyle w:val="Heading3"/>
      </w:pPr>
      <w:r>
        <w:t>4.1 Defeitos registrados (REL-VV §3 — BUG-01 a BUG-10)</w:t>
      </w:r>
    </w:p>
    <w:p>
      <w:r>
        <w:rPr>
          <w:b/>
        </w:rPr>
        <w:t>Evidência no GitLab:</w:t>
      </w:r>
      <w:r>
        <w:t xml:space="preserve"> os 10 defeitos como work items (</w:t>
      </w:r>
      <w:r>
        <w:rPr>
          <w:rFonts w:ascii="Consolas" w:hAnsi="Consolas"/>
          <w:sz w:val="19"/>
        </w:rPr>
        <w:t>tipo::bug</w:t>
      </w:r>
      <w:r>
        <w:t>), com status e severidade:</w:t>
      </w:r>
    </w:p>
    <w:p>
      <w:r>
        <w:rPr>
          <w:rFonts w:ascii="Consolas" w:hAnsi="Consolas"/>
          <w:sz w:val="19"/>
        </w:rPr>
        <w:t>http://191.234.192.153/aasp/cnj/-/issues?label_name[]=tipo::bug</w:t>
      </w:r>
    </w:p>
    <w:p>
      <w:pPr>
        <w:pStyle w:val="ListBullet"/>
      </w:pPr>
      <w:r>
        <w:t>Inclui os críticos da fila de 137 mil itens (</w:t>
      </w:r>
      <w:r>
        <w:rPr>
          <w:b/>
        </w:rPr>
        <w:t>BUG-05/BUG-06</w:t>
      </w:r>
      <w:r>
        <w:t>).</w:t>
      </w:r>
    </w:p>
    <w:p>
      <w:pPr>
        <w:pStyle w:val="Heading3"/>
      </w:pPr>
      <w:r>
        <w:t>4.2 Fluxo de captura validado (VV §6 / REL-VV §4 — CA01..CA07 · US-16)</w:t>
      </w:r>
    </w:p>
    <w:p>
      <w:r>
        <w:rPr>
          <w:b/>
        </w:rPr>
        <w:t>Evidência no GitLab:</w:t>
      </w:r>
      <w:r>
        <w:t xml:space="preserve"> a validação E2E está registrada na história </w:t>
      </w:r>
      <w:r>
        <w:rPr>
          <w:b/>
        </w:rPr>
        <w:t>US-16 — Validar fluxo E2E por amostragem</w:t>
      </w:r>
      <w:r>
        <w:t xml:space="preserve"> </w:t>
      </w:r>
      <w:r>
        <w:rPr>
          <w:rFonts w:ascii="Consolas" w:hAnsi="Consolas"/>
          <w:sz w:val="19"/>
        </w:rPr>
        <w:t>…/-/issues?label_name[]=tipo::historia</w:t>
      </w:r>
      <w:r>
        <w:t>.</w:t>
      </w:r>
    </w:p>
    <w:p>
      <w:r>
        <w:rPr>
          <w:b/>
        </w:rPr>
        <w:t>Permanece externo (runtime):</w:t>
      </w:r>
      <w:r>
        <w:t xml:space="preserve"> os prints de </w:t>
      </w:r>
      <w:r>
        <w:rPr>
          <w:rFonts w:ascii="Consolas" w:hAnsi="Consolas"/>
          <w:sz w:val="19"/>
        </w:rPr>
        <w:t>ProcessoCaptura</w:t>
      </w:r>
      <w:r>
        <w:t xml:space="preserve"> (status 3), </w:t>
      </w:r>
      <w:r>
        <w:rPr>
          <w:rFonts w:ascii="Consolas" w:hAnsi="Consolas"/>
          <w:sz w:val="19"/>
        </w:rPr>
        <w:t>ProcessoCapturaLogin</w:t>
      </w:r>
      <w:r>
        <w:t xml:space="preserve">, </w:t>
      </w:r>
      <w:r>
        <w:rPr>
          <w:rFonts w:ascii="Consolas" w:hAnsi="Consolas"/>
          <w:sz w:val="19"/>
        </w:rPr>
        <w:t>ProcessoCapturaMovimentacaoStatus</w:t>
      </w:r>
      <w:r>
        <w:t>, erro parcial por instância (CA05) e o documento indexado no Elasticsearch/Kibana (CA04) — são estado de banco/índice, não de versionamento.</w:t>
      </w:r>
    </w:p>
    <w:p>
      <w:pPr>
        <w:pStyle w:val="Heading3"/>
      </w:pPr>
      <w:r>
        <w:t>4.3 Desligamento nas APIs parceiras (CA06 · RF-04 · US-10)</w:t>
      </w:r>
    </w:p>
    <w:p>
      <w:r>
        <w:rPr>
          <w:b/>
        </w:rPr>
        <w:t>Evidência no GitLab:</w:t>
      </w:r>
      <w:r>
        <w:t xml:space="preserve"> </w:t>
      </w:r>
      <w:r>
        <w:rPr>
          <w:rFonts w:ascii="Consolas" w:hAnsi="Consolas"/>
          <w:sz w:val="19"/>
        </w:rPr>
        <w:t>feature/20-parceiras-fallback</w:t>
      </w:r>
      <w:r>
        <w:t xml:space="preserve"> (lógica de desligamento do NUP após captura CNJ) + história </w:t>
      </w:r>
      <w:r>
        <w:rPr>
          <w:b/>
        </w:rPr>
        <w:t>US-10</w:t>
      </w:r>
      <w:r>
        <w:t>. Log de execução permanece em runtime.</w:t>
      </w:r>
    </w:p>
    <w:p>
      <w:pPr>
        <w:pStyle w:val="Heading3"/>
      </w:pPr>
      <w:r>
        <w:t>4.4 Segredo de justiça por instância (CA07 · RF-10 · US-13)</w:t>
      </w:r>
    </w:p>
    <w:p>
      <w:r>
        <w:rPr>
          <w:b/>
        </w:rPr>
        <w:t>Evidência no GitLab:</w:t>
      </w:r>
      <w:r>
        <w:t xml:space="preserve"> </w:t>
      </w:r>
      <w:r>
        <w:rPr>
          <w:rFonts w:ascii="Consolas" w:hAnsi="Consolas"/>
          <w:sz w:val="19"/>
        </w:rPr>
        <w:t>feature/23-segredo-instancia</w:t>
      </w:r>
      <w:r>
        <w:t xml:space="preserve"> → </w:t>
      </w:r>
      <w:r>
        <w:rPr>
          <w:rFonts w:ascii="Consolas" w:hAnsi="Consolas"/>
          <w:sz w:val="19"/>
        </w:rPr>
        <w:t>…/-/tree/feature/23-segredo-instancia</w:t>
      </w:r>
      <w:r>
        <w:t xml:space="preserve"> + história </w:t>
      </w:r>
      <w:r>
        <w:rPr>
          <w:b/>
        </w:rPr>
        <w:t>US-13</w:t>
      </w:r>
      <w:r>
        <w:t>.</w:t>
      </w:r>
    </w:p>
    <w:p>
      <w:pPr>
        <w:pStyle w:val="Heading3"/>
      </w:pPr>
      <w:r>
        <w:t>4.5 Retry de webhook (US-17 · RNF-02)</w:t>
      </w:r>
    </w:p>
    <w:p>
      <w:r>
        <w:rPr>
          <w:b/>
        </w:rPr>
        <w:t>Evidência no GitLab:</w:t>
      </w:r>
      <w:r>
        <w:t xml:space="preserve"> </w:t>
      </w:r>
      <w:r>
        <w:rPr>
          <w:rFonts w:ascii="Consolas" w:hAnsi="Consolas"/>
          <w:sz w:val="19"/>
        </w:rPr>
        <w:t>feature/27-retry-webhook</w:t>
      </w:r>
      <w:r>
        <w:t xml:space="preserve"> → </w:t>
      </w:r>
      <w:r>
        <w:rPr>
          <w:rFonts w:ascii="Consolas" w:hAnsi="Consolas"/>
          <w:sz w:val="19"/>
        </w:rPr>
        <w:t>…/-/tree/feature/27-retry-webhook</w:t>
      </w:r>
      <w:r>
        <w:t xml:space="preserve"> + história </w:t>
      </w:r>
      <w:r>
        <w:rPr>
          <w:b/>
        </w:rPr>
        <w:t>US-17</w:t>
      </w:r>
      <w:r>
        <w:t>.</w:t>
      </w:r>
    </w:p>
    <w:p>
      <w:pPr>
        <w:pStyle w:val="Heading2"/>
      </w:pPr>
      <w:r>
        <w:t>5. RASTR / REQ — Rastreabilidade requisito → código → teste</w:t>
      </w:r>
    </w:p>
    <w:p>
      <w:pPr>
        <w:pStyle w:val="Heading3"/>
      </w:pPr>
      <w:r>
        <w:t>5.1 Vínculo card ↔ código (REQ4)</w:t>
      </w:r>
    </w:p>
    <w:p>
      <w:r>
        <w:rPr>
          <w:b/>
        </w:rPr>
        <w:t>Evidência no GitLab (forte):</w:t>
      </w:r>
      <w:r>
        <w:t xml:space="preserve"> a convenção de branch referencia o número do work item — </w:t>
      </w:r>
      <w:r>
        <w:rPr>
          <w:rFonts w:ascii="Consolas" w:hAnsi="Consolas"/>
          <w:sz w:val="19"/>
        </w:rPr>
        <w:t>feature/NN-descricao</w:t>
      </w:r>
      <w:r>
        <w:t xml:space="preserve"> (ex.: </w:t>
      </w:r>
      <w:r>
        <w:rPr>
          <w:rFonts w:ascii="Consolas" w:hAnsi="Consolas"/>
          <w:sz w:val="19"/>
        </w:rPr>
        <w:t>feature/14-cnj-datajud</w:t>
      </w:r>
      <w:r>
        <w:t xml:space="preserve">, </w:t>
      </w:r>
      <w:r>
        <w:rPr>
          <w:rFonts w:ascii="Consolas" w:hAnsi="Consolas"/>
          <w:sz w:val="19"/>
        </w:rPr>
        <w:t>feature/17-webhook-indexacao</w:t>
      </w:r>
      <w:r>
        <w:t xml:space="preserve">, </w:t>
      </w:r>
      <w:r>
        <w:rPr>
          <w:rFonts w:ascii="Consolas" w:hAnsi="Consolas"/>
          <w:sz w:val="19"/>
        </w:rPr>
        <w:t>feature/23-segredo-instancia</w:t>
      </w:r>
      <w:r>
        <w:t>), e cada MR fecha a história correspondente.</w:t>
      </w:r>
    </w:p>
    <w:p>
      <w:r>
        <w:rPr>
          <w:rFonts w:ascii="Consolas" w:hAnsi="Consolas"/>
          <w:sz w:val="19"/>
        </w:rPr>
        <w:t>http://191.234.192.153/aasp/cnj/-/branches</w:t>
      </w:r>
      <w:r>
        <w:t xml:space="preserve"> + </w:t>
      </w:r>
      <w:r>
        <w:rPr>
          <w:rFonts w:ascii="Consolas" w:hAnsi="Consolas"/>
          <w:sz w:val="19"/>
        </w:rPr>
        <w:t>…/-/merge_requests?state=merged</w:t>
      </w:r>
    </w:p>
    <w:p>
      <w:pPr>
        <w:pStyle w:val="Heading2"/>
      </w:pPr>
      <w:r>
        <w:t>6. MED — Medição</w:t>
      </w:r>
    </w:p>
    <w:p>
      <w:pPr>
        <w:pStyle w:val="Heading3"/>
      </w:pPr>
      <w:r>
        <w:t>6.1 Esforço (MED §3 — 586 est. / ~624 real)</w:t>
      </w:r>
    </w:p>
    <w:p>
      <w:r>
        <w:rPr>
          <w:b/>
        </w:rPr>
        <w:t>Evidência no GitLab:</w:t>
      </w:r>
      <w:r>
        <w:t xml:space="preserve"> a distribuição do esforço por iteração está nas </w:t>
      </w:r>
      <w:r>
        <w:rPr>
          <w:b/>
        </w:rPr>
        <w:t>milestones</w:t>
      </w:r>
      <w:r>
        <w:t xml:space="preserve"> (Discovery + Sprints 1–11) e nos work items alocados a cada uma:</w:t>
      </w:r>
    </w:p>
    <w:p>
      <w:r>
        <w:rPr>
          <w:rFonts w:ascii="Consolas" w:hAnsi="Consolas"/>
          <w:sz w:val="19"/>
        </w:rPr>
        <w:t>http://191.234.192.153/aasp/cnj/-/milestones</w:t>
      </w:r>
    </w:p>
    <w:p>
      <w:r>
        <w:rPr>
          <w:b/>
        </w:rPr>
        <w:t>Permanece externo:</w:t>
      </w:r>
      <w:r>
        <w:t xml:space="preserve"> o relatório de horas por atividade (ClickUp, projetos id 213 EPROC/ESAJ e id 256 CNJ).</w:t>
      </w:r>
    </w:p>
    <w:p>
      <w:pPr>
        <w:pStyle w:val="Heading3"/>
      </w:pPr>
      <w:r>
        <w:t>6.2 Custo e economia (MED §4)</w:t>
      </w:r>
    </w:p>
    <w:p>
      <w:r>
        <w:rPr>
          <w:b/>
        </w:rPr>
        <w:t>Permanece externo:</w:t>
      </w:r>
      <w:r>
        <w:t xml:space="preserve"> comprovação de custo/volume (contrato/fatura da API CNJ e da Solucionário) — não é dado de versionamento. (Abraão tem o contrato.)</w:t>
      </w:r>
    </w:p>
    <w:p>
      <w:pPr>
        <w:pStyle w:val="Heading2"/>
      </w:pPr>
      <w:r>
        <w:t>7. GDE — Decisão (fonte primária CNJ, 06–07/04/2026)</w:t>
      </w:r>
    </w:p>
    <w:p>
      <w:r>
        <w:rPr>
          <w:b/>
        </w:rPr>
        <w:t>Evidência no GitLab:</w:t>
      </w:r>
      <w:r>
        <w:t xml:space="preserve"> as decisões de arquitetura estão como work items (</w:t>
      </w:r>
      <w:r>
        <w:rPr>
          <w:rFonts w:ascii="Consolas" w:hAnsi="Consolas"/>
          <w:sz w:val="19"/>
        </w:rPr>
        <w:t>tipo::decisao</w:t>
      </w:r>
      <w:r>
        <w:t xml:space="preserve">, D-01..D-07) e a ata do alinhamento como </w:t>
      </w:r>
      <w:r>
        <w:rPr>
          <w:rFonts w:ascii="Consolas" w:hAnsi="Consolas"/>
          <w:sz w:val="19"/>
        </w:rPr>
        <w:t>tipo::ata</w:t>
      </w:r>
      <w:r>
        <w:t>:</w:t>
      </w:r>
    </w:p>
    <w:p>
      <w:r>
        <w:rPr>
          <w:rFonts w:ascii="Consolas" w:hAnsi="Consolas"/>
          <w:sz w:val="19"/>
        </w:rPr>
        <w:t>http://191.234.192.153/aasp/cnj/-/issues?label_name[]=tipo::decisao</w:t>
      </w:r>
      <w:r>
        <w:t xml:space="preserve"> · </w:t>
      </w:r>
      <w:r>
        <w:rPr>
          <w:rFonts w:ascii="Consolas" w:hAnsi="Consolas"/>
          <w:sz w:val="19"/>
        </w:rPr>
        <w:t>…/-/issues?label_name[]=tipo::ata</w:t>
      </w:r>
    </w:p>
    <w:p>
      <w:pPr>
        <w:pStyle w:val="ListBullet"/>
      </w:pPr>
      <w:r>
        <w:rPr>
          <w:b/>
        </w:rPr>
        <w:t>D-02 — DataJud/CNJ como fonte primária</w:t>
      </w:r>
      <w:r>
        <w:t xml:space="preserve"> e </w:t>
      </w:r>
      <w:r>
        <w:rPr>
          <w:b/>
        </w:rPr>
        <w:t>ATA-AASPCNJ01-001</w:t>
      </w:r>
      <w:r>
        <w:t xml:space="preserve"> registram a decisão de 06–07/04/2026.</w:t>
      </w:r>
    </w:p>
    <w:p>
      <w:pPr>
        <w:pStyle w:val="Heading2"/>
      </w:pPr>
      <w:r>
        <w:t>8. CAP — Capacitação / transferência de conhecimento</w:t>
      </w:r>
    </w:p>
    <w:p>
      <w:r>
        <w:rPr>
          <w:b/>
        </w:rPr>
        <w:t>Evidência no GitLab:</w:t>
      </w:r>
      <w:r>
        <w:t xml:space="preserve"> a transferência de conhecimento via </w:t>
      </w:r>
      <w:r>
        <w:rPr>
          <w:b/>
        </w:rPr>
        <w:t>code review</w:t>
      </w:r>
      <w:r>
        <w:t xml:space="preserve"> está nos 21 MRs (revisão cruzada Raony ↔ Cezar), evidenciando ciência das mudanças por todo o time.</w:t>
      </w:r>
    </w:p>
    <w:p>
      <w:r>
        <w:rPr>
          <w:rFonts w:ascii="Consolas" w:hAnsi="Consolas"/>
          <w:sz w:val="19"/>
        </w:rPr>
        <w:t>http://191.234.192.153/aasp/cnj/-/merge_requests?state=merged</w:t>
      </w:r>
    </w:p>
    <w:p>
      <w:r>
        <w:rPr>
          <w:b/>
        </w:rPr>
        <w:t>Permanece externo:</w:t>
      </w:r>
      <w:r>
        <w:t xml:space="preserve"> a coleção Postman da API CNJ não está versionada no repositório (pasta </w:t>
      </w:r>
      <w:r>
        <w:rPr>
          <w:rFonts w:ascii="Consolas" w:hAnsi="Consolas"/>
          <w:sz w:val="19"/>
        </w:rPr>
        <w:t>docs/</w:t>
      </w:r>
      <w:r>
        <w:t xml:space="preserve"> vazia). *(Se desejar, posso adicioná-la a </w:t>
      </w:r>
      <w:r>
        <w:rPr>
          <w:rFonts w:ascii="Consolas" w:hAnsi="Consolas"/>
          <w:sz w:val="19"/>
        </w:rPr>
        <w:t>/docs</w:t>
      </w:r>
      <w:r>
        <w:t xml:space="preserve"> do repo para centralizar no GitLab.)*</w:t>
      </w:r>
    </w:p>
    <w:p>
      <w:pPr>
        <w:pStyle w:val="Heading2"/>
      </w:pPr>
      <w:r>
        <w:t>9. Prioridade máxima (fonte GitLab)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buscar no GitLab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PRs aprovados (code review) — GCO/REV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…/-/merge_requests?state=all</w:t>
            </w:r>
            <w:r>
              <w:t xml:space="preserve"> (21 MRs, revisor vinculado)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 (tags/releases) — GCO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…/-/tags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v2.0.0</w:t>
            </w:r>
            <w:r>
              <w:t xml:space="preserve"> BL-CNJ) + </w:t>
            </w:r>
            <w:r>
              <w:rPr>
                <w:rFonts w:ascii="Consolas" w:hAnsi="Consolas"/>
                <w:sz w:val="19"/>
              </w:rPr>
              <w:t>…/-/releases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Pipeline CI/CD verde — ITP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…/-/pipelines</w:t>
            </w:r>
            <w:r>
              <w:t xml:space="preserve"> (15 success, </w:t>
            </w:r>
            <w:r>
              <w:rPr>
                <w:rFonts w:ascii="Consolas" w:hAnsi="Consolas"/>
                <w:sz w:val="19"/>
              </w:rPr>
              <w:t>build/test/deploy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Bugs (BUG-05/06 da fila) — VV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…/-/issues?label_name[]=tipo::bug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Rastreabilidade card↔código — RASTR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…/-/branches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feature/NN-*</w:t>
            </w:r>
            <w:r>
              <w:t>) + MRs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Decisão fonte primária CNJ — GDE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…/-/issues?label_name[]=tipo::decisao</w:t>
            </w:r>
            <w:r>
              <w:t xml:space="preserve"> (D-02)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Distribuição de esforço por sprint — MED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…/-/milestones</w:t>
            </w:r>
          </w:p>
        </w:tc>
      </w:tr>
    </w:tbl>
    <w:p/>
    <w:p>
      <w:pPr>
        <w:pStyle w:val="Heading2"/>
      </w:pPr>
      <w:r>
        <w:t>10. Mapa de equivalência — fonte anterior → GitLab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Fonte anterior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está agora no GitLab</w:t>
            </w:r>
          </w:p>
        </w:tc>
      </w:tr>
      <w:tr>
        <w:tc>
          <w:tcPr>
            <w:tcW w:type="dxa" w:w="2880"/>
          </w:tcPr>
          <w:p>
            <w:r>
              <w:t>Azure DevOps — Repos / estrutura</w:t>
            </w:r>
          </w:p>
        </w:tc>
        <w:tc>
          <w:tcPr>
            <w:tcW w:type="dxa" w:w="2880"/>
          </w:tcPr>
          <w:p>
            <w:r>
              <w:t>PCP §2.1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…/-/tree/prod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CapturaServices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WorkerAndamentos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Azure DevOps — branches/GitFlow</w:t>
            </w:r>
          </w:p>
        </w:tc>
        <w:tc>
          <w:tcPr>
            <w:tcW w:type="dxa" w:w="2880"/>
          </w:tcPr>
          <w:p>
            <w:r>
              <w:t>GCO §2/§3, REQ4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…/-/branches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feature/NN-*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Azure DevOps — Pull Requests</w:t>
            </w:r>
          </w:p>
        </w:tc>
        <w:tc>
          <w:tcPr>
            <w:tcW w:type="dxa" w:w="2880"/>
          </w:tcPr>
          <w:p>
            <w:r>
              <w:t>GCO §6 / REV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…/-/merge_requests</w:t>
            </w:r>
            <w:r>
              <w:t xml:space="preserve"> (revisor vinculado)</w:t>
            </w:r>
          </w:p>
        </w:tc>
      </w:tr>
      <w:tr>
        <w:tc>
          <w:tcPr>
            <w:tcW w:type="dxa" w:w="2880"/>
          </w:tcPr>
          <w:p>
            <w:r>
              <w:t>Azure DevOps — Tags / baseline</w:t>
            </w:r>
          </w:p>
        </w:tc>
        <w:tc>
          <w:tcPr>
            <w:tcW w:type="dxa" w:w="2880"/>
          </w:tcPr>
          <w:p>
            <w:r>
              <w:t>GCO §4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…/-/tags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…/-/releases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v2.0.0</w:t>
            </w:r>
            <w:r>
              <w:t xml:space="preserve"> BL-CNJ)</w:t>
            </w:r>
          </w:p>
        </w:tc>
      </w:tr>
      <w:tr>
        <w:tc>
          <w:tcPr>
            <w:tcW w:type="dxa" w:w="2880"/>
          </w:tcPr>
          <w:p>
            <w:r>
              <w:t>Azure DevOps — Pipelines</w:t>
            </w:r>
          </w:p>
        </w:tc>
        <w:tc>
          <w:tcPr>
            <w:tcW w:type="dxa" w:w="2880"/>
          </w:tcPr>
          <w:p>
            <w:r>
              <w:t>ITP §4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…/-/pipelines</w:t>
            </w:r>
            <w:r>
              <w:t xml:space="preserve"> (15 success)</w:t>
            </w:r>
          </w:p>
        </w:tc>
      </w:tr>
      <w:tr>
        <w:tc>
          <w:tcPr>
            <w:tcW w:type="dxa" w:w="2880"/>
          </w:tcPr>
          <w:p>
            <w:r>
              <w:t>ClickUp — cards de bug</w:t>
            </w:r>
          </w:p>
        </w:tc>
        <w:tc>
          <w:tcPr>
            <w:tcW w:type="dxa" w:w="2880"/>
          </w:tcPr>
          <w:p>
            <w:r>
              <w:t>REL-VV §3</w:t>
            </w:r>
          </w:p>
        </w:tc>
        <w:tc>
          <w:tcPr>
            <w:tcW w:type="dxa" w:w="2880"/>
          </w:tcPr>
          <w:p>
            <w:r>
              <w:t xml:space="preserve">work items </w:t>
            </w:r>
            <w:r>
              <w:rPr>
                <w:rFonts w:ascii="Consolas" w:hAnsi="Consolas"/>
                <w:sz w:val="19"/>
              </w:rPr>
              <w:t>tipo::bug</w:t>
            </w:r>
            <w:r>
              <w:t xml:space="preserve"> (BUG-01..10)</w:t>
            </w:r>
          </w:p>
        </w:tc>
      </w:tr>
      <w:tr>
        <w:tc>
          <w:tcPr>
            <w:tcW w:type="dxa" w:w="2880"/>
          </w:tcPr>
          <w:p>
            <w:r>
              <w:t>ClickUp — backlog/histórias</w:t>
            </w:r>
          </w:p>
        </w:tc>
        <w:tc>
          <w:tcPr>
            <w:tcW w:type="dxa" w:w="2880"/>
          </w:tcPr>
          <w:p>
            <w:r>
              <w:t>RASTR / US-xx</w:t>
            </w:r>
          </w:p>
        </w:tc>
        <w:tc>
          <w:tcPr>
            <w:tcW w:type="dxa" w:w="2880"/>
          </w:tcPr>
          <w:p>
            <w:r>
              <w:t xml:space="preserve">work items </w:t>
            </w:r>
            <w:r>
              <w:rPr>
                <w:rFonts w:ascii="Consolas" w:hAnsi="Consolas"/>
                <w:sz w:val="19"/>
              </w:rPr>
              <w:t>tipo::historia</w:t>
            </w:r>
            <w:r>
              <w:t xml:space="preserve"> (US-01..20)</w:t>
            </w:r>
          </w:p>
        </w:tc>
      </w:tr>
      <w:tr>
        <w:tc>
          <w:tcPr>
            <w:tcW w:type="dxa" w:w="2880"/>
          </w:tcPr>
          <w:p>
            <w:r>
              <w:t>ClickUp — time tracking (horas)</w:t>
            </w:r>
          </w:p>
        </w:tc>
        <w:tc>
          <w:tcPr>
            <w:tcW w:type="dxa" w:w="2880"/>
          </w:tcPr>
          <w:p>
            <w:r>
              <w:t>MED §3</w:t>
            </w:r>
          </w:p>
        </w:tc>
        <w:tc>
          <w:tcPr>
            <w:tcW w:type="dxa" w:w="2880"/>
          </w:tcPr>
          <w:p>
            <w:r>
              <w:t>Externo (ClickUp) + milestones p/ distribuição</w:t>
            </w:r>
          </w:p>
        </w:tc>
      </w:tr>
      <w:tr>
        <w:tc>
          <w:tcPr>
            <w:tcW w:type="dxa" w:w="2880"/>
          </w:tcPr>
          <w:p>
            <w:r>
              <w:t>RabbitMQ Management</w:t>
            </w:r>
          </w:p>
        </w:tc>
        <w:tc>
          <w:tcPr>
            <w:tcW w:type="dxa" w:w="2880"/>
          </w:tcPr>
          <w:p>
            <w:r>
              <w:t>ITP §3 (CA)</w:t>
            </w:r>
          </w:p>
        </w:tc>
        <w:tc>
          <w:tcPr>
            <w:tcW w:type="dxa" w:w="2880"/>
          </w:tcPr>
          <w:p>
            <w:r>
              <w:t xml:space="preserve">Externo (runtime) + </w:t>
            </w:r>
            <w:r>
              <w:rPr>
                <w:rFonts w:ascii="Consolas" w:hAnsi="Consolas"/>
                <w:sz w:val="19"/>
              </w:rPr>
              <w:t>feature/18-rabbitmq-fila</w:t>
            </w:r>
          </w:p>
        </w:tc>
      </w:tr>
      <w:tr>
        <w:tc>
          <w:tcPr>
            <w:tcW w:type="dxa" w:w="2880"/>
          </w:tcPr>
          <w:p>
            <w:r>
              <w:t>Elasticsearch / Kibana</w:t>
            </w:r>
          </w:p>
        </w:tc>
        <w:tc>
          <w:tcPr>
            <w:tcW w:type="dxa" w:w="2880"/>
          </w:tcPr>
          <w:p>
            <w:r>
              <w:t>ITP §6 / VV CA04</w:t>
            </w:r>
          </w:p>
        </w:tc>
        <w:tc>
          <w:tcPr>
            <w:tcW w:type="dxa" w:w="2880"/>
          </w:tcPr>
          <w:p>
            <w:r>
              <w:t xml:space="preserve">Externo (runtime) + </w:t>
            </w:r>
            <w:r>
              <w:rPr>
                <w:rFonts w:ascii="Consolas" w:hAnsi="Consolas"/>
                <w:sz w:val="19"/>
              </w:rPr>
              <w:t>feature/17-webhook-indexacao</w:t>
            </w:r>
          </w:p>
        </w:tc>
      </w:tr>
      <w:tr>
        <w:tc>
          <w:tcPr>
            <w:tcW w:type="dxa" w:w="2880"/>
          </w:tcPr>
          <w:p>
            <w:r>
              <w:t>Banco / SSMS (tabelas)</w:t>
            </w:r>
          </w:p>
        </w:tc>
        <w:tc>
          <w:tcPr>
            <w:tcW w:type="dxa" w:w="2880"/>
          </w:tcPr>
          <w:p>
            <w:r>
              <w:t>PCP §2.2 / VV CA01-03</w:t>
            </w:r>
          </w:p>
        </w:tc>
        <w:tc>
          <w:tcPr>
            <w:tcW w:type="dxa" w:w="2880"/>
          </w:tcPr>
          <w:p>
            <w:r>
              <w:t xml:space="preserve">Externo (runtime) — </w:t>
            </w:r>
            <w:r>
              <w:rPr>
                <w:rFonts w:ascii="Consolas" w:hAnsi="Consolas"/>
                <w:sz w:val="19"/>
              </w:rPr>
              <w:t>db/</w:t>
            </w:r>
            <w:r>
              <w:t xml:space="preserve"> vazio no repo</w:t>
            </w:r>
          </w:p>
        </w:tc>
      </w:tr>
      <w:tr>
        <w:tc>
          <w:tcPr>
            <w:tcW w:type="dxa" w:w="2880"/>
          </w:tcPr>
          <w:p>
            <w:r>
              <w:t>Postman (API CNJ)</w:t>
            </w:r>
          </w:p>
        </w:tc>
        <w:tc>
          <w:tcPr>
            <w:tcW w:type="dxa" w:w="2880"/>
          </w:tcPr>
          <w:p>
            <w:r>
              <w:t>ITP §2.1 / CAP</w:t>
            </w:r>
          </w:p>
        </w:tc>
        <w:tc>
          <w:tcPr>
            <w:tcW w:type="dxa" w:w="2880"/>
          </w:tcPr>
          <w:p>
            <w:r>
              <w:t xml:space="preserve">Externo — </w:t>
            </w:r>
            <w:r>
              <w:rPr>
                <w:rFonts w:ascii="Consolas" w:hAnsi="Consolas"/>
                <w:sz w:val="19"/>
              </w:rPr>
              <w:t>docs/</w:t>
            </w:r>
            <w:r>
              <w:t xml:space="preserve"> vazio no repo</w:t>
            </w:r>
          </w:p>
        </w:tc>
      </w:tr>
      <w:tr>
        <w:tc>
          <w:tcPr>
            <w:tcW w:type="dxa" w:w="2880"/>
          </w:tcPr>
          <w:p>
            <w:r>
              <w:t>Contrato / fatura</w:t>
            </w:r>
          </w:p>
        </w:tc>
        <w:tc>
          <w:tcPr>
            <w:tcW w:type="dxa" w:w="2880"/>
          </w:tcPr>
          <w:p>
            <w:r>
              <w:t>MED §4</w:t>
            </w:r>
          </w:p>
        </w:tc>
        <w:tc>
          <w:tcPr>
            <w:tcW w:type="dxa" w:w="2880"/>
          </w:tcPr>
          <w:p>
            <w:r>
              <w:t>Externo (contrato)</w:t>
            </w:r>
          </w:p>
        </w:tc>
      </w:tr>
    </w:tbl>
    <w:p/>
    <w:p>
      <w:r>
        <w:t>*Documento gerado a partir do estado real do GitLab self-hosted (</w:t>
      </w:r>
      <w:r>
        <w:rPr>
          <w:rFonts w:ascii="Consolas" w:hAnsi="Consolas"/>
          <w:sz w:val="19"/>
        </w:rPr>
        <w:t>aasp/cnj</w:t>
      </w:r>
      <w:r>
        <w:t>) em 17/06/2026. Itens de runtime (banco, Elasticsearch, RabbitMQ, ClickUp/horas, contrato) permanecem nas suas fontes; onde há registro equivalente no GitLab (história, bug, decisão, código da feature, MR), ele está indicado. Nenhum dado foi inventado.*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