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back-end/worker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um agente de captura e serviços de retaguarda;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problemas operacionais da captura; o cliente valida resultados e aceita as entregas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~586 h estimadas, ~9 meses, dois projetos correlatos (id 213 EPROC e id 256 CNJ)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refletida no GitLab (issues e board), com esforço consolidado em GEST-AASPCNJ01; histórias e sprints refletidos em issues e milestones no GitLab; story points modelados retroativamente para evidência na GEST-AASPCNJ01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devolutivas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Acordada com a AASP; resultados comunicados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havia ambiente de Elasticsearch dedicado para testes; validação por repetição do mesmo processo na fila sem impacto no índice de produção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organizados por fluxo e fase (ver VV-AASPCNJ01-001)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e REL-VV-AASPCNJ01-001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(REQ-AASPCNJ01-001)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Plano de Projeto aprovado pelo cliente (baseline) — a registrar no encerramento (projeto em execução)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— Onda 3 (encerramento previsto 30/06/2026)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dois pontos em aberto referem-se a marcos de encerramento e serão registrados ao final do projeto (TAE-AASPCNJ01-001 e a ata de aceite), conforme o estágio atual.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