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REGISTRO DE ANÁLISE DE DECISÃO (RAD) — AASP_CNJ · FONTE PRIMÁRIA DE CAPTURA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GDE-AASPCNJ01-001   ·   Versão 1.0   ·   07/04/2026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GDE-AASPCNJ01-001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 / contexto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AASP_CNJ — WorkerAndamentos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07/04/2026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Responsável pela decisão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Cézar Hiraki Velázquez (com o time de desenvolvimento)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Problema / decisão a tomar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Definir a fonte primária de captura de andamentos processuais que substituiria o modelo anterior (web scrapers frágeis e APIs privadas pagas, com custo de ~R$ 16.500/mês e cobertura incompleta).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Gatilho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Escolha de tecnologia/fornecedor de alto impacto financeiro e operacional, com efeito na arquitetura de captura — atinge os gatilhos do PRO-GDE-001 (tecnologia/fornecedor e alto impacto).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3. Alternativas consideradas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Alternativa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Manter APIs privadas (Solucionário/Botmax)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Continuar a captura por fornecedores pagos, com custo por instância e cobertura parcial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Crawler próprio universal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Estender o engine EPROC/ESAJ para todos os tribunais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API DataJud/CNJ como fonte primária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Fonte oficial, gratuita por baixo custo, padronizada e de cobertura nacional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4. Critérios de avaliação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Critério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Peso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Custo por captura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Cobertura de tribunais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Padronização do modelo de dados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Manutenibilidade / estabilidade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Risco de indisponibilidade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5. Avaliação (matriz de decisão)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Escala 1–3 por critério (3 = melhor atende). Pontuação ponderada pelo peso.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780"/>
        <w:gridCol w:w="1780"/>
        <w:gridCol w:w="1780"/>
        <w:gridCol w:w="1780"/>
        <w:gridCol w:w="1780"/>
      </w:tblGrid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Critério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Peso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Alt. A (privadas)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Alt. B (crawler universal)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Alt. C (CNJ)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Custo por captura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Cobertura de tribunais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Padronização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Manutenibilidade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Risco de indisponibilidade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Total ponderado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/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21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20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34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6. Decisão e justificativa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Escolhida a Alternativa C — API DataJud/CNJ como fonte primária universal. Reúne cobertura nacional com um único endpoint padronizado, custo de R$ 0,01/processo (vs. R$ 0,03/instância da principal privada) e modelo de dados uniforme, simplificando a serialização para o Elasticsearch. Economia projetada de ~R$ 176 mil anuais. As fontes EPROC/ESAJ e parceiras permanecem como fallback configurável por CodigoFonteAPI.</w:t>
      </w:r>
      <w:r>
        <w:rPr>
          <w:rFonts w:ascii="Calibri" w:hAnsi="Calibri"/>
          <w:b/>
          <w:i w:val="0"/>
          <w:sz w:val="22"/>
        </w:rPr>
      </w:r>
      <w:r>
        <w:rPr>
          <w:rFonts w:ascii="Calibri" w:hAnsi="Calibri"/>
          <w:b w:val="0"/>
          <w:i w:val="0"/>
          <w:sz w:val="22"/>
        </w:rPr>
      </w:r>
      <w:r>
        <w:rPr>
          <w:rFonts w:ascii="Courier New" w:hAnsi="Courier New"/>
          <w:b w:val="0"/>
          <w:i w:val="0"/>
          <w:color w:val="333333"/>
          <w:sz w:val="20"/>
        </w:rPr>
      </w:r>
      <w:r>
        <w:rPr>
          <w:rFonts w:ascii="Calibri" w:hAnsi="Calibri"/>
          <w:b w:val="0"/>
          <w:i w:val="0"/>
          <w:sz w:val="22"/>
        </w:rPr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7. Riscos associados à decisão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Risco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Resposta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Indisponibilidade/alteração da API CNJ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Manter EPROC/ESAJ e parceiras como fallback configurável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CNJ não cobre processos em segredo de justiça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Fallback obrigatório por instância (EPROC/ESAJ ou parceiras com credencial)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8. Premissas (para revisão futura)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A API DataJud/CNJ permanece disponível com a cobertura declarada.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O custo de R$ 0,01/processo se mantém conforme contratado.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Anexo — Registro consolidado de decisões do projeto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Decisão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Justificativa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D01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Out/2025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Desenvolver engine nativo EPROC/ESAJ para o TJSP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Eliminar dependência de APIs privadas no maior tribunal e reduzir custo no maior volume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D02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Adotar a API DataJud/CNJ como fonte primária universal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Cobertura universal, custo reduzido e padronização (RAD detalhado acima)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D03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Unificar a fila RabbitMQ para todos os tribunais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Elimina código duplicado e simplifica o roteamento e o escalonamento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D04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Armazenar o token Bearer CNJ de forma compartilhada (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PonteAPI</w:t>
            </w:r>
            <w:r>
              <w:rPr>
                <w:rFonts w:ascii="Calibri" w:hAnsi="Calibri"/>
                <w:b w:val="0"/>
                <w:i w:val="0"/>
                <w:sz w:val="20"/>
              </w:rPr>
              <w:t>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Evitar renovações paralelas e condições de corrida entre workers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D05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Tratar o JSON da API CNJ no worker (não na API)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Worker entrega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IModelElastic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pronto, simplificando a API AndamentosProcessuais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D06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Mai/2026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Pausar o desenvolvimento da captura de 2ª instância EPROC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Priorização acordada com o cliente para focar na integração CNJ (ver CR-AASPCNJ01-001)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D07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Mai/2026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Controlar segredo de justiça por instância (campo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Segredo</w:t>
            </w:r>
            <w:r>
              <w:rPr>
                <w:rFonts w:ascii="Calibri" w:hAnsi="Calibri"/>
                <w:b w:val="0"/>
                <w:i w:val="0"/>
                <w:sz w:val="20"/>
              </w:rPr>
              <w:t>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Um processo pode estar em segredo em uma instância e não em outra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07/04/2026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Equipe Técnica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RAD da fonte primária de captura (D02) + registro consolidado de decisões, a partir do Registro de Projeto AASP_CNJ v1.0 (08/06/2026).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06/04/2026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06/04/2026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GDE-AASPCNJ01-001</w:t>
    </w:r>
    <w:r>
      <w:tab/>
    </w:r>
    <w:r>
      <w:rPr>
        <w:rFonts w:ascii="Calibri" w:hAnsi="Calibri"/>
        <w:color w:val="555555"/>
        <w:sz w:val="18"/>
      </w:rPr>
      <w:t>Gerência de Decisões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