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PROJETO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PLA-AASPCNJ01-001   ·   Versão 1.1   ·   17/06/2026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e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reconstrói o modelo de captura de andamentos processuais da AASP, que apresentava quatro problemas centrais: instabilidade dos crawlers, cobertura incompleta, custo operacional elevado (~R$ 16.500/mês na API Solucionário) e arquitetura monolítica sem observabilidade. A solução é entregue por dois eixos: um agente de captura nativo para o TJSP (EPROC/ESAJ) e a integração com a API DataJud/CNJ como fonte primária universal, com roteamento por processo e fallback estruturado. Ver REQ-AASPCNJ01-001 para os requisitos detalhados.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(GPR 1)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Incluído:</w:t>
      </w:r>
      <w:r>
        <w:rPr>
          <w:rFonts w:ascii="Calibri" w:hAnsi="Calibri"/>
          <w:b w:val="0"/>
          <w:i w:val="0"/>
          <w:sz w:val="22"/>
        </w:rPr>
        <w:t xml:space="preserve"> agente EPROC/ESAJ para o TJSP; integração DataJud/CNJ como fonte primária;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; fallback em três níveis; fila RabbitMQ unificada; webhook para a API AndamentosProcessuais; desligamento de APIs parceiras pós-captura; controle de segredo de justiça por instância; gestão centralizada de token Bearer CNJ.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  <w:r>
        <w:rPr>
          <w:rFonts w:ascii="Calibri" w:hAnsi="Calibri"/>
          <w:b w:val="0"/>
          <w:i w:val="0"/>
          <w:sz w:val="22"/>
        </w:rPr>
        <w:t xml:space="preserve"> front-end de consulta do associado e índice Elasticsearch já existentes (a solução integra-se a eles); módulos da plataforma AASP fora do fluxo de captura.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Detalhamento em REQ-AASPCNJ01-001.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Adaptação do processo (GPR 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processo-padrão (PRO-GPC-001) foi adaptado a este projeto conforme o GUIA-GPC-001. Registro completo em ADAP-AASPCNJ01-001. Principais decisões: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aplicável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de back-end/worker, sem interface de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de documentação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de médio porte, integração crítica de operação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 e cadência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consolidado em GEST-AASPCNJ01; histórias e sprints refletidos em issues e milestones no GitLab; story points (retroativo) para evidência na GEST-AASPCNJ01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Concilia a gestão real por atividades com a rastreabilidade ágil (ver GEST-AASPCNJ01)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Combinação de papéis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Sênior acumulou execução de testes nas fases iniciais; GP acumulou responsável por GCO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Analista de Testes dedicado a partir da Fase 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Estimativas (GPR 3, 4)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foi estimado e acompanhado por horas de esforço consolidadas em GEST-AASPCNJ01, somando as atividades dos projetos id 213 (EPROC/ESAJ) e id 256 (CNJ). Para a evidência de gestão ágil, o backlog foi modelado retroativamente em 20 histórias (155 SP) derivadas dos requisitos (RF/RNF), distribuídas em Discovery + 11 sprints (velocity média ~14 SP/sprint) e conciliadas com as horas reais. Detalhamento em GEST-AASPCNJ01-001 (abas Backlog, Tarefas e Acompanhamento) e em ADAP-AASPCNJ01-001.</w:t>
      </w:r>
      <w:r>
        <w:rPr>
          <w:rFonts w:ascii="Calibri" w:hAnsi="Calibri"/>
          <w:b/>
          <w:i w:val="0"/>
          <w:sz w:val="22"/>
        </w:rPr>
      </w: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</w: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</w: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</w:r>
      <w:r>
        <w:rPr>
          <w:rFonts w:ascii="Calibri" w:hAnsi="Calibri"/>
          <w:b w:val="0"/>
          <w:i w:val="0"/>
          <w:sz w:val="22"/>
        </w:rPr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Esforço estimado × realizado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estimado (h)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realizado (h)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Análise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Desenvolvimento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124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Estabilização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Desenvolvimento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Testes e Validação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109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6 — Implantação e Complementos (em andamento)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586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~624 (parcial)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Cronograma, marcos e orçamento (GPR 5)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Marcos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Abertura (Fase 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EPROC/ESAJ (Fases 2–3)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desenvolvimento CNJ (Fase 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e validação (Fase 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Implantação e complementos (Fase 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Previsto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Estrutura de fases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Análise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 – Jan/2026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Desenvolvimento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 – Mar/2026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Estabilização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 – Abr/2026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Desenvolvimento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 – 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Testes e Validação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6 — Implantação e Complementos (em andamento)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Orçamento total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totais estimadas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586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realizadas (parcial)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~624 h (Fase 6 em apuração)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 a 30/06/2026 (previsto)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Recursos (GPR 6, 7)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Equipe: Abraão Oliveira (Gerente de Projeto, todas as fases); Cézar Hiraki Velázquez (Tech Lead / DevOps / Arquiteto, Fases 1–3); Raony Chagas (Desenvolvedor Sênior, Fases 2–6); Mateus Veloso (Desenvolvedor de Suporte, Fases 4–5); Caroline Sousa (Analista de Testes, Fase 5); Lucas Batista (Infraestrutura/DevOps, Fases 1 e 6).</w:t>
      </w:r>
      <w:r>
        <w:rPr>
          <w:rFonts w:ascii="Calibri" w:hAnsi="Calibri"/>
          <w:b w:val="0"/>
          <w:i w:val="0"/>
          <w:sz w:val="22"/>
        </w:rPr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Ambiente e ferramentas: GitLab (código, CI/CD e gestão ágil — issues, milestones e board), AWS (hospedagem dos workers e APIs internas), RabbitMQ, Elasticsearch. Ver GCO-AASPCNJ01-001.</w:t>
      </w:r>
      <w:r>
        <w:rPr>
          <w:rFonts w:ascii="Calibri" w:hAnsi="Calibri"/>
          <w:b w:val="0"/>
          <w:i w:val="0"/>
          <w:sz w:val="22"/>
        </w:rPr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Partes interessadas e comunicação (GPR 9)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Interesse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Comunicação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do Cliente — 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Validação, homologação e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 e devolutivas de 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interno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 financeiro e operacional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por marco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e decisões técnicas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 periódicas (ver ATA-AASPCNJ01-001)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Transição e suporte pós-go-live (GPR 8, GPR 16)</w:t>
      </w:r>
    </w:p>
    <w:p>
      <w:pPr>
        <w:pStyle w:val="Heading2"/>
        <w:keepNext/>
        <w:keepLines/>
      </w:pPr>
      <w:r>
        <w:t>8.1 Estratégia de transição para produção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deploy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por amostragem → montagem de pacote GMUD → agendamento com Infraestrutura → produção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pela execução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de Infraestrutura / DevOps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Aprovador do go-live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mudança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(Gerência de Mudança) — montagem de pacote, validação e agendamento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rollback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Reversão para a versão anterior do worker; APIs parceiras mantidas como fallback configurável durante a migração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8.2 Critérios de prontidão para 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Obrigatório?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Verificado por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validado (sucesso, fallback e erro parcial)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Persistência de movimentações validada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configuração registrada (tag de versão)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 (DevOps) / Cézar Hiraki Velázquez (GCO)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 GMUD montado e agendado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Lucas Batista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8.3 Suporte e monitoramento pós-go-live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ativo da fila RabbitMQ e dos logs de captura por instância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+ Cézar Hiraki Velázquez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que monitorar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Travamentos de fila (meta: zero travamentos manuais/mês); erros por instância nas tabelas de controle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Riscos (GPR 10)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Exposição = Probabilidade × Impacto (escala 1–3 por dimensão), conforme EST-GPC-002.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Exposição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Indisponibilidade/alteração na API DataJud/CNJ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Mitigar — manter APIs parceiras como fallback configurável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 da fila RabbitMQ (ocorreu)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logging aprimorado, tratamento de exceção na publicação e monitoramento ativo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Processos em segredo de justiça sem cobertura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controle por instância e fallback para EPROC/ESAJ ou parceiras com credencial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Variação de layout dos portais EPROC/ESAJ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CNJ como fonte primária reduz exposição; EPROC como fallback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de duplo pagamento durante migração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desligamento automático nas parceiras após 1ª captura via CNJ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Erros parciais por instância não tratados (ocorreu)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controle granular de status por instância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Viabilidade (GPR 11)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é viável: a economia projetada (~R$ 176 mil/ano) supera amplamente o esforço estimado (586 h), e a arquitetura de fontes com fallback reduz o risco de indisponibilidade. A principal restrição (segredo de justiça sem cobertura no CNJ) é endereçada pelo fallback por instância.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Aprovação do Plano (GPR 13)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 da ata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registrar no encerramento (Onda 3)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do projeto e o aceite final serão registrados no encerramento (TAE-AASPCNJ01-001), conforme o estágio atual do projeto (em execução).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 do plano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consolidado a partir do Registro de Projeto AASP_CNJ v1.0 (08/06/2026).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17/06/2026</w:t>
            </w:r>
          </w:p>
        </w:tc>
        <w:tc>
          <w:tcPr>
            <w:tcW w:type="dxa" w:w="2225"/>
          </w:tcPr>
          <w:p>
            <w:r>
              <w:t>Gerente de Projeto</w:t>
            </w:r>
          </w:p>
        </w:tc>
        <w:tc>
          <w:tcPr>
            <w:tcW w:type="dxa" w:w="2225"/>
          </w:tcPr>
          <w:p>
            <w:r>
              <w:t>Plataforma de versionamento corrigida (Azure DevOps → GitLab).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PLA-AASPCNJ01-001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