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 (Discovery)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 em múltiplos tribunais. A Timeware opera o sistema de captura que consulta as fontes dos tribunais e persiste os dados na base da AASP, indexando-os em Elasticsearch. O modelo de captura vigente apresentava instabilidade dos crawlers, cobertura incompleta, custo elevado (~R$ 16.500/mês) e arquitetura monolítica sem observabilidade. A fila de processamento chegou a acumular 137 mil itens não processados. O objetivo é reconstruir a captura com base em um agente nativo EPROC/ESAJ para o TJSP e na API DataJud/CNJ como fonte primária universal, com roteamento por processo e fallback estruturado.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ampla, custo reduzido e estabilidade da 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Observabilidade, reprocessamento seletivo e escalonamento independente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identifica NUPs pendentes e os enfileira no RabbitMQ)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(workers que leem a fila, consultam as fontes e enviam os resultados à API AndamentosProcessuais via webhook). O roteamento de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Projeto de back-end,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Consultar a API DataJud/CNJ como fonte primária para todos os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Instabilidade de crawler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Capturar via engine EPROC/ESAJ para processos do TJSP quando a API CNJ não retornar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monolítica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Ler a fila RabbitMQ de forma unificada,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identificar e desligar o processo nas APIs parceiras, registrando 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o token Bearer da API CNJ de forma compartilhada entre instâncias, com renovação automática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rastrear a fonte de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fallback para APIs parceiras quando CNJ e EPROC/ESAJ falharem, por ordem de 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todos os retornos das parceiras: NUP inválido, vazio/aguardando, erro total e 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Registrar erros detalhados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das tabelas de controle,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Identificar e registrar processos em segredo de justiça por instância, diferenciando acessíveis de restritas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os dados capturados à API AndamentosProcessuais via webhook para indexação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CapturaServer deve enfileirar todos os processos no RabbitMQ de forma unificada, independente do tribunal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Desempenho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Suportar múltiplos workers concorrentes na mesma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conflito de token ou de reserva de NUP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Retomar o processamento após travamento de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intervenção manual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todos os estados de captura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Permitir adição de novas fontes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refatoração do fluxo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e renovar o token Bearer da CNJ de forma centralizada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exposição em logs de aplicação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Reduzir o custo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≥ R$ 150.000 anuais vs. modelo anterior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 (fallback obrigatório).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sem ambiente de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declarada e custo de R$ 0,01/processo.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fornecem as credenciais necessárias via gerenciador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(RF-01, RF-05, RF-11)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com o time e validação de fluxo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(ATA-AASPCNJ01-001)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e critérios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fluxo e 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(ver VV-AASPCNJ01-001 e REL-VV-AASPCNJ01-001)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Entendimento dos objetivos de cobertura, custo e estabilidade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na apresentação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