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TAP-AASPCNJ01-001   ·   Versão 1.0   ·   01/10/2025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Reconstruir o modelo de captura de andamentos processuais da plataforma de monitoramento da AASP, substituindo a dependência de web scrapers frágeis e de APIs privadas pagas por uma arquitetura baseada em duas fontes complementares: (1) um agente de captura nativo para o TJSP via EPROC/ESAJ e (2) a API DataJud do Conselho Nacional de Justiça (CNJ) como fonte primária e universal de captura. O resultado esperado é uma operação de captura mais estável, com cobertura nacional, custo significativamente menor (economia projetada de ~R$ 176 mil anuais) e observabilidade adequada para reprocessamento e escalonamento.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Agente de captura nativo para o TJSP via EPROC/ESAJ (engine Puppeteer headless).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Integração com a API DataJud/CNJ como fonte primária de captura para todos os NUPs com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nulo.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Roteamento inteligente de fonte por processo e estratégia de fallback em três níveis (CNJ → EPROC/ESAJ → APIs parceiras).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Enfileiramento unificado no RabbitMQ (independente do tribunal) e envio dos dados capturados à API AndamentosProcessuais via webhook.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Desligamento automático do processo nas APIs parceiras após captura bem-sucedida via CNJ, com log de desligamento.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Controle de segredo de justiça por instância processual.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Gestão centralizada do token Bearer da API CNJ com renovação automática compartilhada entre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front-end de consulta do associado e o índice Elasticsearch já existentes (a solução integra-se a eles via API AndamentosProcessuais, mas não os desenvolve).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Novos módulos da plataforma AASP fora do fluxo de captura.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requisitos, homologação e aceite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(Tech Lead / DevOps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Tech Lead / DevOps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Mateus Veloso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Desenvolvedor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r>
              <w:t>Lucas Batista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Analista de 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Caroline Sousa</w:t>
            </w:r>
          </w:p>
        </w:tc>
      </w:tr>
      <w:tr>
        <w:tc>
          <w:tcPr>
            <w:tcW w:type="dxa" w:w="4451"/>
          </w:tcPr>
          <w:p>
            <w:r>
              <w:t>Auditor GQA (independente)</w:t>
            </w:r>
          </w:p>
        </w:tc>
        <w:tc>
          <w:tcPr>
            <w:tcW w:type="dxa" w:w="4451"/>
          </w:tcPr>
          <w:p>
            <w: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/ início (Fase 1 — 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EPROC/ESAJ (Fases 2–3)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desenvolvimento CNJ (Fase 4)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Estudo do comportamento do captcha Cloudflare nos portais do TJSP e estratégias de contorno.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da solução EPROC/ESAJ.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dos ambientes de homologação.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permanece disponível, com a cobertura de tribunais declarada e custo de R$ 0,01 por processo.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Associados com processos em segredo de justiça fornecem as credenciais necessárias quando solicitado.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API DataJud/CNJ não retorna dados de processos em segredo de justiça, exigindo fallback obrigatório.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Diferentes tribunais exigem diferentes credenciais para acesso a processos em segredo (usuário/senha, certificado A1, QR Code).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Homologação realizada por amostragem, sem ambiente de Elasticsearch dedicado para testes.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da Fase 1 (Análise e Arquitetura) em 01/10/2025. O alinhamento técnico formal do fluxo de captura via API CNJ com o time ampliado está registrado em ATA-AASPCNJ01-001 (07/04/2026).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da Fase 1 (Análise e Arquitetura)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ATA-AASPCNJ01-001 (07/04/2026)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01/10/2025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