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ÍNDICE DE REGISTROS DO PROJETO — AASP_CNJ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AASPCNJ01   ·   Versão 1.5   ·   12/06/2026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INDICE-AASPCNJ01-001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AASPCNJ01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Natureza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Documento de controle / índice — apoio interno. Organiza a produção das evidências do projeto; </w:t>
            </w:r>
            <w:r>
              <w:rPr>
                <w:rFonts w:ascii="Calibri" w:hAnsi="Calibri"/>
                <w:b/>
                <w:i w:val="0"/>
                <w:sz w:val="20"/>
              </w:rPr>
              <w:t>não é, ele próprio, evidência auditável pela ASR</w:t>
            </w:r>
            <w:r>
              <w:rPr>
                <w:rFonts w:ascii="Calibri" w:hAnsi="Calibri"/>
                <w:b w:val="0"/>
                <w:i w:val="0"/>
                <w:sz w:val="20"/>
              </w:rPr>
              <w:t>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Fonte consolidada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AASP_CNJ_Registro_de_Projeto v1.0</w:t>
            </w: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Como usar:</w:t>
      </w:r>
      <w:r>
        <w:rPr>
          <w:rFonts w:ascii="Calibri" w:hAnsi="Calibri"/>
          <w:b w:val="0"/>
          <w:i w:val="0"/>
          <w:color w:val="1A5276"/>
          <w:sz w:val="22"/>
        </w:rPr>
        <w:t xml:space="preserve"> este índice mapeia todos os registros MPS a produzir para o projeto AASPCNJ01, o status de cada um, a seção do documento-fonte que o alimenta e o dado ainda pendente. Conforme cada artefato for gerado, atualizar a coluna </w:t>
      </w:r>
      <w:r>
        <w:rPr>
          <w:rFonts w:ascii="Calibri" w:hAnsi="Calibri"/>
          <w:b/>
          <w:i w:val="0"/>
          <w:color w:val="1A5276"/>
          <w:sz w:val="22"/>
        </w:rPr>
        <w:t>Status</w:t>
      </w:r>
      <w:r>
        <w:rPr>
          <w:rFonts w:ascii="Calibri" w:hAnsi="Calibri"/>
          <w:b w:val="0"/>
          <w:i w:val="0"/>
          <w:color w:val="1A5276"/>
          <w:sz w:val="22"/>
        </w:rPr>
        <w:t xml:space="preserve"> e registrar no histórico ao final.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 e momento do projeto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Início:</w:t>
      </w:r>
      <w:r>
        <w:rPr>
          <w:rFonts w:ascii="Calibri" w:hAnsi="Calibri"/>
          <w:b w:val="0"/>
          <w:i w:val="0"/>
          <w:sz w:val="22"/>
        </w:rPr>
        <w:t xml:space="preserve"> 01/10/2025 · </w:t>
      </w:r>
      <w:r>
        <w:rPr>
          <w:rFonts w:ascii="Calibri" w:hAnsi="Calibri"/>
          <w:b/>
          <w:i w:val="0"/>
          <w:sz w:val="22"/>
        </w:rPr>
        <w:t>Encerramento previsto:</w:t>
      </w:r>
      <w:r>
        <w:rPr>
          <w:rFonts w:ascii="Calibri" w:hAnsi="Calibri"/>
          <w:b w:val="0"/>
          <w:i w:val="0"/>
          <w:sz w:val="22"/>
        </w:rPr>
        <w:t xml:space="preserve"> 30/06/2026.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Status atual (08/06/2026):</w:t>
      </w:r>
      <w:r>
        <w:rPr>
          <w:rFonts w:ascii="Calibri" w:hAnsi="Calibri"/>
          <w:b w:val="0"/>
          <w:i w:val="0"/>
          <w:sz w:val="22"/>
        </w:rPr>
        <w:t xml:space="preserve"> desenvolvimento concluído; implantação em produção em andamento.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Fases do processo-padrão (PRO-GPC-001):</w:t>
      </w:r>
      <w:r>
        <w:rPr>
          <w:rFonts w:ascii="Calibri" w:hAnsi="Calibri"/>
          <w:b w:val="0"/>
          <w:i w:val="0"/>
          <w:sz w:val="22"/>
        </w:rPr>
        <w:t xml:space="preserve"> 1 a 6 concluídas; </w:t>
      </w:r>
      <w:r>
        <w:rPr>
          <w:rFonts w:ascii="Calibri" w:hAnsi="Calibri"/>
          <w:b/>
          <w:i w:val="0"/>
          <w:sz w:val="22"/>
        </w:rPr>
        <w:t>Fase 7 (Homologação, Entrega e Encerramento) em andamento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Consequência para a documentação:</w:t>
      </w:r>
      <w:r>
        <w:rPr>
          <w:rFonts w:ascii="Calibri" w:hAnsi="Calibri"/>
          <w:b w:val="0"/>
          <w:i w:val="0"/>
          <w:sz w:val="22"/>
        </w:rPr>
        <w:t xml:space="preserve"> todo o conjunto de </w:t>
      </w:r>
      <w:r>
        <w:rPr>
          <w:rFonts w:ascii="Calibri" w:hAnsi="Calibri"/>
          <w:b/>
          <w:i w:val="0"/>
          <w:sz w:val="22"/>
        </w:rPr>
        <w:t>execução</w:t>
      </w:r>
      <w:r>
        <w:rPr>
          <w:rFonts w:ascii="Calibri" w:hAnsi="Calibri"/>
          <w:b w:val="0"/>
          <w:i w:val="0"/>
          <w:sz w:val="22"/>
        </w:rPr>
        <w:t xml:space="preserve"> pode ser produzido agora; os artefatos de </w:t>
      </w:r>
      <w:r>
        <w:rPr>
          <w:rFonts w:ascii="Calibri" w:hAnsi="Calibri"/>
          <w:b/>
          <w:i w:val="0"/>
          <w:sz w:val="22"/>
        </w:rPr>
        <w:t>encerramento</w:t>
      </w:r>
      <w:r>
        <w:rPr>
          <w:rFonts w:ascii="Calibri" w:hAnsi="Calibri"/>
          <w:b w:val="0"/>
          <w:i w:val="0"/>
          <w:sz w:val="22"/>
        </w:rPr>
        <w:t xml:space="preserve"> (TAE, Lições Aprendidas, Ata de Aceite Final) aguardam o aceite formal (~30/06/2026).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Plano de produção (ondas)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produção segue três ondas, da maior para a menor prontidão de insumo.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Legenda de status:</w:t>
      </w:r>
      <w:r>
        <w:rPr>
          <w:rFonts w:ascii="Calibri" w:hAnsi="Calibri"/>
          <w:b w:val="0"/>
          <w:i w:val="0"/>
          <w:sz w:val="22"/>
        </w:rPr>
        <w:t xml:space="preserve"> ✅ gerado (11/06/2026) · 🔵 aguardando encerramento · 🔴 não se aplica.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Atualização v1.1 (11/06/2026):</w:t>
      </w:r>
      <w:r>
        <w:rPr>
          <w:rFonts w:ascii="Calibri" w:hAnsi="Calibri"/>
          <w:b w:val="0"/>
          <w:i w:val="0"/>
          <w:color w:val="1A5276"/>
          <w:sz w:val="22"/>
        </w:rPr>
        <w:t xml:space="preserve"> Ondas 1 e 2 geradas — </w:t>
      </w:r>
      <w:r>
        <w:rPr>
          <w:rFonts w:ascii="Calibri" w:hAnsi="Calibri"/>
          <w:b/>
          <w:i w:val="0"/>
          <w:color w:val="1A5276"/>
          <w:sz w:val="22"/>
        </w:rPr>
        <w:t>18 registros</w:t>
      </w:r>
      <w:r>
        <w:rPr>
          <w:rFonts w:ascii="Calibri" w:hAnsi="Calibri"/>
          <w:b w:val="0"/>
          <w:i w:val="0"/>
          <w:color w:val="1A5276"/>
          <w:sz w:val="22"/>
        </w:rPr>
        <w:t xml:space="preserve"> em </w:t>
      </w:r>
      <w:r>
        <w:rPr>
          <w:rFonts w:ascii="Courier New" w:hAnsi="Courier New"/>
          <w:b w:val="0"/>
          <w:i w:val="0"/>
          <w:color w:val="1A5276"/>
          <w:sz w:val="20"/>
        </w:rPr>
        <w:t>.md</w:t>
      </w:r>
      <w:r>
        <w:rPr>
          <w:rFonts w:ascii="Calibri" w:hAnsi="Calibri"/>
          <w:b w:val="0"/>
          <w:i w:val="0"/>
          <w:color w:val="1A5276"/>
          <w:sz w:val="22"/>
        </w:rPr>
        <w:t xml:space="preserve"> na pasta do projeto. Pendente: Onda 3 (encerramento) e a planilha de gestão (GEST). Os documentos usam </w:t>
      </w:r>
      <w:r>
        <w:rPr>
          <w:rFonts w:ascii="Calibri" w:hAnsi="Calibri"/>
          <w:b/>
          <w:i w:val="0"/>
          <w:color w:val="1A5276"/>
          <w:sz w:val="22"/>
        </w:rPr>
        <w:t>papéis genéricos</w:t>
      </w:r>
      <w:r>
        <w:rPr>
          <w:rFonts w:ascii="Calibri" w:hAnsi="Calibri"/>
          <w:b w:val="0"/>
          <w:i w:val="0"/>
          <w:color w:val="1A5276"/>
          <w:sz w:val="22"/>
        </w:rPr>
        <w:t xml:space="preserve"> (sem nomes) — substituição por nomes reais pendente do envio do roster.</w:t>
      </w:r>
    </w:p>
    <w:p>
      <w:pPr>
        <w:pStyle w:val="Heading2"/>
        <w:keepNext/>
        <w:keepLines/>
      </w:pPr>
      <w:r>
        <w:t>Onda 1 — Núcleo de execução (insumo forte)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artefato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Seção-fonte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1, 3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c>
          <w:tcPr>
            <w:tcW w:type="dxa" w:w="1484"/>
          </w:tcPr>
          <w:p>
            <w:r>
              <w:t>0</w:t>
            </w:r>
          </w:p>
        </w:tc>
        <w:tc>
          <w:tcPr>
            <w:tcW w:type="dxa" w:w="1484"/>
          </w:tcPr>
          <w:p>
            <w:r>
              <w:t>REG-AASPCNJ01-001</w:t>
            </w:r>
          </w:p>
        </w:tc>
        <w:tc>
          <w:tcPr>
            <w:tcW w:type="dxa" w:w="1484"/>
          </w:tcPr>
          <w:p>
            <w:r>
              <w:t>Registro de Projeto (Linha de Base)</w:t>
            </w:r>
          </w:p>
        </w:tc>
        <w:tc>
          <w:tcPr>
            <w:tcW w:type="dxa" w:w="1484"/>
          </w:tcPr>
          <w:p>
            <w:r>
              <w:t>GPR/GCO</w:t>
            </w:r>
          </w:p>
        </w:tc>
        <w:tc>
          <w:tcPr>
            <w:tcW w:type="dxa" w:w="1484"/>
          </w:tcPr>
          <w:p>
            <w:r>
              <w:t>—</w:t>
            </w:r>
          </w:p>
        </w:tc>
        <w:tc>
          <w:tcPr>
            <w:tcW w:type="dxa" w:w="1484"/>
          </w:tcPr>
          <w:p>
            <w:r>
              <w:t>✅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Onda 2 — Restante da execução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artefato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Seção-fonte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Adaptação do Processo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Verificação e Validação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7.1–7.3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Execução de Testes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7.2, 7.4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Gerência de Configuração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Análise de Decisão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Medição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2.3 + 4 + 7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Acompanhamento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3.2, 8.2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Change Request (pausa da 2ª instância EPROC)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5.3, D06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Alinhamento — Fluxo API CNJ (07/04/2026)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GQA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GEST-AASPCNJ01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de Gestão do Projeto (xlsx) — 11 abas; backlog 20 histórias/155 SP + 48 tarefas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3.2, 3.4, 8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Capacitação da Equipe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Revisão por Pares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9.1, 11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Onda 3 — Encerramento (aguardar aceite formal ~30/06/2026)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artefato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Seção-fonte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ATA-AASPCNJ01-002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Aceite Final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aceite registrado no TAE §4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Encerramento e Aceite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gerado em 30/06/2026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Lições Aprendidas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(implícito)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integrado ao TAE-AASPCNJ01-001 §6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Fora de escopo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 — Aquisição (seção 10 do doc-fonte)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🔴 </w:t>
            </w:r>
            <w:r>
              <w:rPr>
                <w:rFonts w:ascii="Calibri" w:hAnsi="Calibri"/>
                <w:b/>
                <w:i w:val="0"/>
                <w:sz w:val="20"/>
              </w:rPr>
              <w:t>Não gerar registro de projeto.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MAPA-ORG-001</w:t>
            </w:r>
            <w:r>
              <w:rPr>
                <w:rFonts w:ascii="Calibri" w:hAnsi="Calibri"/>
                <w:b w:val="0"/>
                <w:i w:val="0"/>
                <w:sz w:val="20"/>
              </w:rPr>
              <w:t>, AQU é candidato a não-aplicável (nenhum projeto subcontrata desenvolvimento). DataJud/Solucionário/Botmax/AWS/Azure são dependências/insumos de serviço — o conteúdo é reaproveitado em ITP, PCP e na seção de Riscos do PLA, não em um registro AQU.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Dados pendentes (necessários antes de gerar)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Como a opção escolhida foi </w:t>
      </w:r>
      <w:r>
        <w:rPr>
          <w:rFonts w:ascii="Calibri" w:hAnsi="Calibri"/>
          <w:b/>
          <w:i w:val="0"/>
          <w:color w:val="1A5276"/>
          <w:sz w:val="22"/>
        </w:rPr>
        <w:t>nomes reais</w:t>
      </w:r>
      <w:r>
        <w:rPr>
          <w:rFonts w:ascii="Calibri" w:hAnsi="Calibri"/>
          <w:b w:val="0"/>
          <w:i w:val="0"/>
          <w:color w:val="1A5276"/>
          <w:sz w:val="22"/>
        </w:rPr>
        <w:t>, os registros de identificação (TAP, PLA, GQA, ATAs) dependem dos dados abaixo. Nada será inventado — onde faltar, o campo fica em aberto e é sinalizado.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Pessoas (papéis → nomes reais) — ✅ aplicado (v1.2):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Gerente de Projeto / Tech Lead → </w:t>
      </w:r>
      <w:r>
        <w:rPr>
          <w:rFonts w:ascii="Calibri" w:hAnsi="Calibri"/>
          <w:b/>
          <w:i w:val="0"/>
          <w:sz w:val="22"/>
        </w:rPr>
        <w:t>Abraão Oliveira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Arquiteto de Software → </w:t>
      </w:r>
      <w:r>
        <w:rPr>
          <w:rFonts w:ascii="Calibri" w:hAnsi="Calibri"/>
          <w:b/>
          <w:i w:val="0"/>
          <w:sz w:val="22"/>
        </w:rPr>
        <w:t>Cézar Hiraki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Desenvolvedor Sênior (Principal) → </w:t>
      </w:r>
      <w:r>
        <w:rPr>
          <w:rFonts w:ascii="Calibri" w:hAnsi="Calibri"/>
          <w:b/>
          <w:i w:val="0"/>
          <w:sz w:val="22"/>
        </w:rPr>
        <w:t>Raony Chagas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Desenvolvedor (Suporte) → </w:t>
      </w:r>
      <w:r>
        <w:rPr>
          <w:rFonts w:ascii="Calibri" w:hAnsi="Calibri"/>
          <w:b/>
          <w:i w:val="0"/>
          <w:sz w:val="22"/>
        </w:rPr>
        <w:t>Levi Santos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Analista de Testes (QA) → Caroline Sousa</w:t>
      </w:r>
      <w:r>
        <w:rPr>
          <w:rFonts w:ascii="Calibri" w:hAnsi="Calibri"/>
          <w:b/>
          <w:i w:val="0"/>
          <w:sz w:val="22"/>
        </w:rPr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Infraestrutura / DevOps → </w:t>
      </w:r>
      <w:r>
        <w:rPr>
          <w:rFonts w:ascii="Calibri" w:hAnsi="Calibri"/>
          <w:b/>
          <w:i w:val="0"/>
          <w:sz w:val="22"/>
        </w:rPr>
        <w:t>David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Representante / sponsor da AASP → </w:t>
      </w:r>
      <w:r>
        <w:rPr>
          <w:rFonts w:ascii="Calibri" w:hAnsi="Calibri"/>
          <w:b/>
          <w:i w:val="0"/>
          <w:sz w:val="22"/>
        </w:rPr>
        <w:t>Carlos Alves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Auditor de GQA (independente) → Jonathan Barbosa</w:t>
      </w:r>
      <w:r>
        <w:rPr>
          <w:rFonts w:ascii="Calibri" w:hAnsi="Calibri"/>
          <w:b/>
          <w:i w:val="0"/>
          <w:sz w:val="22"/>
        </w:rPr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Equipe confirmada com sobrenomes. Cézar Hiraki é o mesmo Arquiteto do projeto FTGASMIG. "Time de Desenvolvimento" = Raony Chagas + Levi Santos.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Outros dados: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Contrato / forma de contratação com a AASP (TAP) — ex.: alocação de squad, OS, contrato fechado.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GQA (seção 9 está rasa): marcos auditados, datas, itens verificados, % de conformidade e desvios.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Baseline de configuração entregue (GCO) — confirmar a tag de versão (o doc cita "v240").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MED: confirmar se mapeamos os indicadores da seção 8 para o conjunto padrão M1–M9 do </w:t>
      </w:r>
      <w:r>
        <w:rPr>
          <w:rFonts w:ascii="Courier New" w:hAnsi="Courier New"/>
          <w:b w:val="0"/>
          <w:i w:val="0"/>
          <w:color w:val="333333"/>
          <w:sz w:val="20"/>
        </w:rPr>
        <w:t>PLA-MED-001</w:t>
      </w:r>
      <w:r>
        <w:rPr>
          <w:rFonts w:ascii="Calibri" w:hAnsi="Calibri"/>
          <w:b w:val="0"/>
          <w:i w:val="0"/>
          <w:sz w:val="22"/>
        </w:rPr>
        <w:t xml:space="preserve"> ou mantemos os indicadores próprios do projeto.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Decisões de adaptação (ADAP)</w:t>
      </w:r>
      <w:r>
        <w:rPr>
          <w:rFonts w:ascii="Calibri" w:hAnsi="Calibri"/>
          <w:b w:val="0"/>
          <w:i w:val="0"/>
          <w:sz w:val="22"/>
        </w:rPr>
        <w:t xml:space="preserve"> — proponho a partir do doc, para sua validação: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Ausência de ambiente de Elasticsearch dedicado → homologação por amostragem (restrição 2.5).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Acúmulo de papéis (Dev Sênior atuando também em testes nas fases iniciais).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Nível de documentação e rito de GMUD para implantação.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de classificação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Seção 4 do doc-fonte está rotulada "(OSW)"</w:t>
      </w:r>
      <w:r>
        <w:rPr>
          <w:rFonts w:ascii="Calibri" w:hAnsi="Calibri"/>
          <w:b w:val="0"/>
          <w:i w:val="0"/>
          <w:sz w:val="22"/>
        </w:rPr>
        <w:t xml:space="preserve">, mas o conteúdo (arquitetura, componentes, fallback) é de </w:t>
      </w:r>
      <w:r>
        <w:rPr>
          <w:rFonts w:ascii="Calibri" w:hAnsi="Calibri"/>
          <w:b/>
          <w:i w:val="0"/>
          <w:sz w:val="22"/>
        </w:rPr>
        <w:t>PCP</w:t>
      </w:r>
      <w:r>
        <w:rPr>
          <w:rFonts w:ascii="Calibri" w:hAnsi="Calibri"/>
          <w:b w:val="0"/>
          <w:i w:val="0"/>
          <w:sz w:val="22"/>
        </w:rPr>
        <w:t>. O registro será gerado como PCP-AASPCNJ01-001. OSW é processo organizacional, não de projeto.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Formato:</w:t>
      </w:r>
      <w:r>
        <w:rPr>
          <w:rFonts w:ascii="Calibri" w:hAnsi="Calibri"/>
          <w:b w:val="0"/>
          <w:i w:val="0"/>
          <w:sz w:val="22"/>
        </w:rPr>
        <w:t xml:space="preserve"> registros produzidos em Markdown (</w:t>
      </w:r>
      <w:r>
        <w:rPr>
          <w:rFonts w:ascii="Courier New" w:hAnsi="Courier New"/>
          <w:b w:val="0"/>
          <w:i w:val="0"/>
          <w:color w:val="333333"/>
          <w:sz w:val="20"/>
        </w:rPr>
        <w:t>.md</w:t>
      </w:r>
      <w:r>
        <w:rPr>
          <w:rFonts w:ascii="Calibri" w:hAnsi="Calibri"/>
          <w:b w:val="0"/>
          <w:i w:val="0"/>
          <w:sz w:val="22"/>
        </w:rPr>
        <w:t>); conversão para Word apenas quando solicitado.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Criação do índice-mestre de registros do projeto AASPCNJ01 a partir do documento-fonte consolidado v1.0. Estrutura definida; conteúdo dos registros a produzir.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Ondas 1 e 2 geradas (18 registros .md). Status atualizado para ✅. Pendentes: planilha de gestão (GEST) e Onda 3 (encerramento). Documentos com papéis genéricos — substituição por nomes reais pendente.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Nomes reais aplicados aos 18 registros (Abraão Oliveira, Cézar Hiraki, Raony Chagas, Levi Santos, Jonatan, David, Carlos Alves; auditor GQA Wilson Yamada) — 71 substituições nos campos de identificação/responsável. Pendentes: planilha de gestão (GEST) e Onda 3 (encerramento).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GEST-AASPCNJ01 gerada (11 abas; backlog de 20 histórias/155 SP e 48 tarefas derivados dos requisitos, com sprints; histórias e sprints refletidos em issues e milestones no GitLab). PLA/ADAP/MED/GCO/RASTR/RAC atualizados com o modelo de sprints/SP e referência à planilha. Pendente: Onda 3 (encerramento).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Sobrenomes aplicados (Raony Chagas, Levi Santos) nos .md e na planilha; .docx regenerados. Criado COLETA-EVIDENCIAS_AASPCNJ (interno) para levantamento de evidências técnicas com o Tech Lead/Dev.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Sobrenome do Arquiteto confirmado: Cézar Hiraki — aplicado nos 18 registros e na planilha; .docx regenerados. Equipe completa.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AASPCNJ01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