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ALINHAMENTO TÉCNICO DO FLUXO DE CAPTURA API CNJ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ATA-AASPCNJ01-001   ·   Versão 1.0   ·   07/04/2026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e entendimento do fluxo da API CNJ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Sênior (Principal)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Mateus Veloso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 (Suporte)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 novo fluxo de captura via API DataJud/CNJ.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Definição de responsabilidades para 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do desenvolvedor de suporte incorporado ao time.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Tech Lead apresentou o fluxo completo da nova arquitetura: funcionamento da API DataJud, lógica de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, mecanismos de fallback (CNJ → EPROC/ESAJ → parceiras) e modelo de dados de gravação no Elasticsearch (</w:t>
      </w:r>
      <w:r>
        <w:rPr>
          <w:rFonts w:ascii="Courier New" w:hAnsi="Courier New"/>
          <w:b w:val="0"/>
          <w:i w:val="0"/>
          <w:color w:val="333333"/>
          <w:sz w:val="20"/>
        </w:rPr>
        <w:t>IModelElastic</w:t>
      </w:r>
      <w:r>
        <w:rPr>
          <w:rFonts w:ascii="Calibri" w:hAnsi="Calibri"/>
          <w:b w:val="0"/>
          <w:i w:val="0"/>
          <w:sz w:val="22"/>
        </w:rPr>
        <w:t>). Foi alinhado o enfileiramento unificado no RabbitMQ e a gestão compartilhada do token Bearer.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Adotar a DataJud/CNJ como fonte primária universal (D02)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Unificar a fila RabbitMQ (D03)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time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Token Bearer compartilhado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(D04)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Normalização do JSON CNJ no worker (D05)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(Decisões detalhadas em GDE-AASPCNJ01-001.)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Desenvolver o worker de requisição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Implementar enfileiramento unificado com verificação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Desenvolvimento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Onboarding do desenvolvedor de suporte no fluxo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Início da Fase 4 (Desenvolvimento CNJ): captura via DataJud, fluxo de gravação via webhook e lógica de fallback.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07/04/2026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do alinhamento de 07/04/2026 reconstituída a partir do Registro de Projeto AASP_CNJ v1.0.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Cezar Hiraki Velazquez / time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Time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