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5 (SEGREDO DE JUSTIÇA POR INSTÂNCIA E TRATAMENTO DE RETORNOS)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CR-AASPCNJ01-002   ·   Versão 1.0   ·   20/05/2026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5,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), o tratamento granular dos retornos das APIs parceiras (inválido, vazio, erro total/parcial) e o registro de erro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), além do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 (um processo pode estar em segredo ou falhar em uma instância e não em outra). Esse escopo adicional, acordado com o cliente, é a origem do atraso de ~30 dias em relação ao prazo original de desenvolvimento (até a Sprint 8 / 02/05), absorvido pelo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segredo por instância, tratamento de retornos das parceiras e priorização do RunUpdater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vs. prazo original (dev até 02/05), absorvido — sem custo adicional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segredo sem cobertura (R-03) e erros parciais por instância (R-06)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 (aba Backlog/Acompanhamento); GDE-AASPCNJ01-001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GEST-AASPCNJ01 (aba Change Requests), na Matriz de Rastreabilidade (RF07–RF12) e na baseline de configuração (GCO-AASPCNJ01-001). O esforço adicional foi absorvido na Fase 5; o atraso de ~30 dias foi acordado com o cliente (ver RAC-AASPCNJ01-001 e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CR-AASPCNJ01-002 (aditivo da Fase 5), dando lastro formal ao escopo adicional e ao atraso de ~30 dias.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