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1.0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~R$ 176.040/ano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Para a evidência de gestão ágil, o esforço foi também modelado retroativamente em 155 SP distribuídos em Discovery + 11 sprints (velocity média ~14 SP/sprint), conciliado com as horas reais — ver GEST-AASPCNJ01 (abas Backlog, Tarefas e Acompanhamento).</w:t>
      </w:r>
      <w:r>
        <w:rPr>
          <w:rFonts w:ascii="Calibri" w:hAnsi="Calibri"/>
          <w:b/>
          <w:i w:val="0"/>
          <w:color w:val="1A5276"/>
          <w:sz w:val="22"/>
        </w:rPr>
      </w:r>
      <w:r>
        <w:rPr>
          <w:rFonts w:ascii="Calibri" w:hAnsi="Calibri"/>
          <w:b w:val="0"/>
          <w:i w:val="0"/>
          <w:color w:val="1A5276"/>
          <w:sz w:val="22"/>
        </w:rPr>
      </w:r>
      <w:r>
        <w:rPr>
          <w:rFonts w:ascii="Calibri" w:hAnsi="Calibri"/>
          <w:b/>
          <w:i w:val="0"/>
          <w:color w:val="1A5276"/>
          <w:sz w:val="22"/>
        </w:rPr>
      </w:r>
      <w:r>
        <w:rPr>
          <w:rFonts w:ascii="Calibri" w:hAnsi="Calibri"/>
          <w:b w:val="0"/>
          <w:i w:val="0"/>
          <w:color w:val="1A5276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~R$ 176.040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