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RAC-AASPCNJ01-001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6 (Implantação e Complementos)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1–5); o projeto está em implantação em produção (Fase 6),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(~30 dias após o alvo de 02/05), por escopo adicional acordado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pausada e retomada em jun/2026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de fila corrigido;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defeitos tratados; critérios de aceite validados por amostragem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está concluída e validada (sucesso, fallback e erro parcial por instância). A operação migra progressivamente das APIs privadas para a fonte CNJ, com desligamento automático dos NUPs nas parceiras após a primeira captura. No período corrente, o foco é a montagem dos pacotes de GMUD, o deploy em produção e a retomada da captura de 2ª instância no EPROC.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mensal projetada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(milestones no GitLab)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concluídas + 1 em andamento — ver GEST-AASPCNJ01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DataJud/CNJ (fonte primária)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nacional e custo R$ 0,01/processo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(3 níveis)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automático nas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pagamento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travamento de fila (137 mil itens)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operação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(retomada)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após conclusão da Fase 5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(Onda 3)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+~6% (~624 h vs. 586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após correção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de 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~R$ 14.670/mês projetado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após captcha Cloudflare (EPROC)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(portal)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espera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acumulou 137 mil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(BUG-05/06)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da 2ª instância EPROC para priorizar 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Realocação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retomada da 2ª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o CNJ não retorna processos em segredo; alguns tribunais exigem credenciais específicas.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instâncias sem atualização quando a credencial não está disponível.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fallback por instância (EPROC/ESAJ ou parceiras com credencial); solicitação de credenciais aos associados via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e retomada da captura de 2ª instância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80"/>
          </w:tcPr>
          <w:p>
            <w:r>
              <w:t>CR-AASPCNJ01-002</w:t>
            </w:r>
          </w:p>
        </w:tc>
        <w:tc>
          <w:tcPr>
            <w:tcW w:type="dxa" w:w="1780"/>
          </w:tcPr>
          <w:p>
            <w:r>
              <w:t>Aditivo da Fase 5: segredo de justiça por instância, tratamento de retornos das parceiras e priorização do RunUpdater</w:t>
            </w:r>
          </w:p>
        </w:tc>
        <w:tc>
          <w:tcPr>
            <w:tcW w:type="dxa" w:w="1780"/>
          </w:tcPr>
          <w:p>
            <w:r>
              <w:t>Mai/2026</w:t>
            </w:r>
          </w:p>
        </w:tc>
        <w:tc>
          <w:tcPr>
            <w:tcW w:type="dxa" w:w="1780"/>
          </w:tcPr>
          <w:p>
            <w:r>
              <w:t>Aprovada (acordada com o cliente)</w:t>
            </w:r>
          </w:p>
        </w:tc>
        <w:tc>
          <w:tcPr>
            <w:tcW w:type="dxa" w:w="1780"/>
          </w:tcPr>
          <w:p>
            <w: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reuniões de alinhamento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+ devolutivas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6) consolidado a partir do Registro de Projeto AASP_CNJ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