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PROJETO (LINHA DE BASE CONSOLIDADA) — AASP_CNJ · WORKERANDAMENTOS</w:t>
      </w:r>
    </w:p>
    <w:p>
      <w:r>
        <w:rPr>
          <w:i w:val="0"/>
        </w:rPr>
        <w:t>REG-AASPCNJ01-001   ·   Versão 1.1   ·   30/06/2026   ·   Timeware Brasil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REG-AASPCNJ01-001 — Registro de Projeto / Linha de Base Consolidada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AASP_CNJ — WorkerAndamentos: Agente de Captura de Andamentos Processuais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AASP — Associação dos Advogados de São Paulo</w:t>
            </w:r>
          </w:p>
        </w:tc>
      </w:tr>
      <w:tr>
        <w:tc>
          <w:tcPr>
            <w:tcW w:type="dxa" w:w="4320"/>
          </w:tcPr>
          <w:p>
            <w: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t>Versão / Data</w:t>
            </w:r>
          </w:p>
        </w:tc>
        <w:tc>
          <w:tcPr>
            <w:tcW w:type="dxa" w:w="4320"/>
          </w:tcPr>
          <w:p>
            <w:r>
              <w:t>1.1 · 30/06/2026 (encerramento) — baseline v1.0 em 08/06/2026</w:t>
            </w:r>
          </w:p>
        </w:tc>
      </w:tr>
      <w:tr>
        <w:tc>
          <w:tcPr>
            <w:tcW w:type="dxa" w:w="4320"/>
          </w:tcPr>
          <w:p>
            <w:r>
              <w:t>Gerente de Projeto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  <w:tr>
        <w:tc>
          <w:tcPr>
            <w:tcW w:type="dxa" w:w="4320"/>
          </w:tcPr>
          <w:p>
            <w:r>
              <w:t>Data de abertura</w:t>
            </w:r>
          </w:p>
        </w:tc>
        <w:tc>
          <w:tcPr>
            <w:tcW w:type="dxa" w:w="4320"/>
          </w:tcPr>
          <w:p>
            <w:r>
              <w:t>01/10/2025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Encerrado em 30/06/2026 (TAE-AASPCNJ01-001)</w:t>
            </w:r>
          </w:p>
        </w:tc>
      </w:tr>
      <w:tr>
        <w:tc>
          <w:tcPr>
            <w:tcW w:type="dxa" w:w="4320"/>
          </w:tcPr>
          <w:p>
            <w:r>
              <w:t>Processo MPS-SW</w:t>
            </w:r>
          </w:p>
        </w:tc>
        <w:tc>
          <w:tcPr>
            <w:tcW w:type="dxa" w:w="4320"/>
          </w:tcPr>
          <w:p>
            <w:r>
              <w:t>GPR / GCO (linha de base do projeto)</w:t>
            </w:r>
          </w:p>
        </w:tc>
      </w:tr>
    </w:tbl>
    <w:p>
      <w:pPr>
        <w:pStyle w:val="Heading1"/>
      </w:pPr>
      <w:r>
        <w:t>1. Propósito deste registro</w:t>
      </w:r>
    </w:p>
    <w:p>
      <w:r>
        <w:rPr>
          <w:i w:val="0"/>
        </w:rPr>
        <w:t>Linha de base consolidada do projeto AASP_CNJ: reúne identificação, escopo, equipe, ciclo de vida, indicadores e o inventário dos registros formais. Referência única (baseline v1.0, 08/06/2026) a partir da qual os registros individuais são derivados e mantidos coerentes. Conteúdo consolidado dos próprios registros — nada novo é introduzido.</w:t>
      </w:r>
    </w:p>
    <w:p>
      <w:pPr>
        <w:pStyle w:val="Heading1"/>
      </w:pPr>
      <w:r>
        <w:t>2. Objetivo e escopo</w:t>
      </w:r>
    </w:p>
    <w:p>
      <w:r>
        <w:rPr>
          <w:i w:val="0"/>
        </w:rPr>
        <w:t>Objetivo: reconstruir a captura de andamentos da AASP substituindo web scrapers frágeis e APIs privadas por duas fontes complementares — agente nativo TJSP via EPROC/ESAJ e API DataJud/CNJ como fonte primária e universal — com maior estabilidade, cobertura nacional, custo menor (economia ~R$ 176 mil/ano) e observabilidade. (TAP-AASPCNJ01-001 §1)</w:t>
      </w:r>
    </w:p>
    <w:p>
      <w:r>
        <w:rPr>
          <w:i w:val="0"/>
        </w:rPr>
        <w:t>Escopo (macro): agente EPROC/ESAJ (Puppeteer headless); integração DataJud/CNJ (fonte primária para NUPs com CodigoFonteAPI nulo); roteamento por processo e fallback em 3 níveis (CNJ → EPROC/ESAJ → parceiras); enfileiramento unificado RabbitMQ + webhook para a API AndamentosProcessuais; desligamento das parceiras pós-CNJ com log; controle de segredo de justiça por instância; gestão compartilhada do token Bearer CNJ. Não incluído: front-end/Elasticsearch existentes; módulos fora do fluxo de captura. (TAP §2 / REQ-AASPCNJ01-001: 12 RF + RNF)</w:t>
      </w:r>
    </w:p>
    <w:p>
      <w:pPr>
        <w:pStyle w:val="Heading1"/>
      </w:pPr>
      <w:r>
        <w:t>3. Partes interessadas e equipe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Titular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Atuação</w:t>
            </w:r>
          </w:p>
        </w:tc>
      </w:tr>
      <w:tr>
        <w:tc>
          <w:tcPr>
            <w:tcW w:type="dxa" w:w="2880"/>
          </w:tcPr>
          <w:p>
            <w:r>
              <w:t>Gerente de Projeto</w:t>
            </w:r>
          </w:p>
        </w:tc>
        <w:tc>
          <w:tcPr>
            <w:tcW w:type="dxa" w:w="2880"/>
          </w:tcPr>
          <w:p>
            <w:r>
              <w:t>Abraão Oliveira</w:t>
            </w:r>
          </w:p>
        </w:tc>
        <w:tc>
          <w:tcPr>
            <w:tcW w:type="dxa" w:w="2880"/>
          </w:tcPr>
          <w:p>
            <w:r>
              <w:t>Todas as fases (GPR)</w:t>
            </w:r>
          </w:p>
        </w:tc>
      </w:tr>
      <w:tr>
        <w:tc>
          <w:tcPr>
            <w:tcW w:type="dxa" w:w="2880"/>
          </w:tcPr>
          <w:p>
            <w:r>
              <w:t>Tech Lead / DevOps / Arquiteto</w:t>
            </w:r>
          </w:p>
        </w:tc>
        <w:tc>
          <w:tcPr>
            <w:tcW w:type="dxa" w:w="2880"/>
          </w:tcPr>
          <w:p>
            <w:r>
              <w:t>Cézar Hiraki Velázquez</w:t>
            </w:r>
          </w:p>
        </w:tc>
        <w:tc>
          <w:tcPr>
            <w:tcW w:type="dxa" w:w="2880"/>
          </w:tcPr>
          <w:p>
            <w:r>
              <w:t>Fases 1–3 (PCP/ITP/GCO/GDE)</w:t>
            </w:r>
          </w:p>
        </w:tc>
      </w:tr>
      <w:tr>
        <w:tc>
          <w:tcPr>
            <w:tcW w:type="dxa" w:w="2880"/>
          </w:tcPr>
          <w:p>
            <w:r>
              <w:t>Desenvolvedor Sênior (Principal)</w:t>
            </w:r>
          </w:p>
        </w:tc>
        <w:tc>
          <w:tcPr>
            <w:tcW w:type="dxa" w:w="2880"/>
          </w:tcPr>
          <w:p>
            <w:r>
              <w:t>Raony Chagas</w:t>
            </w:r>
          </w:p>
        </w:tc>
        <w:tc>
          <w:tcPr>
            <w:tcW w:type="dxa" w:w="2880"/>
          </w:tcPr>
          <w:p>
            <w:r>
              <w:t>Fases 2–6</w:t>
            </w:r>
          </w:p>
        </w:tc>
      </w:tr>
      <w:tr>
        <w:tc>
          <w:tcPr>
            <w:tcW w:type="dxa" w:w="2880"/>
          </w:tcPr>
          <w:p>
            <w:r>
              <w:t>Desenvolvedor de Suporte</w:t>
            </w:r>
          </w:p>
        </w:tc>
        <w:tc>
          <w:tcPr>
            <w:tcW w:type="dxa" w:w="2880"/>
          </w:tcPr>
          <w:p>
            <w:r>
              <w:t>Mateus Veloso</w:t>
            </w:r>
          </w:p>
        </w:tc>
        <w:tc>
          <w:tcPr>
            <w:tcW w:type="dxa" w:w="2880"/>
          </w:tcPr>
          <w:p>
            <w:r>
              <w:t>Fases 4–5</w:t>
            </w:r>
          </w:p>
        </w:tc>
      </w:tr>
      <w:tr>
        <w:tc>
          <w:tcPr>
            <w:tcW w:type="dxa" w:w="2880"/>
          </w:tcPr>
          <w:p>
            <w:r>
              <w:t>Infraestrutura / DevOps</w:t>
            </w:r>
          </w:p>
        </w:tc>
        <w:tc>
          <w:tcPr>
            <w:tcW w:type="dxa" w:w="2880"/>
          </w:tcPr>
          <w:p>
            <w:r>
              <w:t>Lucas Batista</w:t>
            </w:r>
          </w:p>
        </w:tc>
        <w:tc>
          <w:tcPr>
            <w:tcW w:type="dxa" w:w="2880"/>
          </w:tcPr>
          <w:p>
            <w:r>
              <w:t>Fases 1 e 6</w:t>
            </w:r>
          </w:p>
        </w:tc>
      </w:tr>
      <w:tr>
        <w:tc>
          <w:tcPr>
            <w:tcW w:type="dxa" w:w="2880"/>
          </w:tcPr>
          <w:p>
            <w:r>
              <w:t>Analista de QA / Testes</w:t>
            </w:r>
          </w:p>
        </w:tc>
        <w:tc>
          <w:tcPr>
            <w:tcW w:type="dxa" w:w="2880"/>
          </w:tcPr>
          <w:p>
            <w:r>
              <w:t>Caroline Sousa</w:t>
            </w:r>
          </w:p>
        </w:tc>
        <w:tc>
          <w:tcPr>
            <w:tcW w:type="dxa" w:w="2880"/>
          </w:tcPr>
          <w:p>
            <w:r>
              <w:t>V&amp;V (Fase 5)</w:t>
            </w:r>
          </w:p>
        </w:tc>
      </w:tr>
      <w:tr>
        <w:tc>
          <w:tcPr>
            <w:tcW w:type="dxa" w:w="2880"/>
          </w:tcPr>
          <w:p>
            <w:r>
              <w:t>Auditor de GQA (independente)</w:t>
            </w:r>
          </w:p>
        </w:tc>
        <w:tc>
          <w:tcPr>
            <w:tcW w:type="dxa" w:w="2880"/>
          </w:tcPr>
          <w:p>
            <w:r>
              <w:t>Jonathan Barbosa</w:t>
            </w:r>
          </w:p>
        </w:tc>
        <w:tc>
          <w:tcPr>
            <w:tcW w:type="dxa" w:w="2880"/>
          </w:tcPr>
          <w:p>
            <w:r>
              <w:t>Garantia da Qualidade de Processo — fora da equipe de engenharia</w:t>
            </w:r>
          </w:p>
        </w:tc>
      </w:tr>
    </w:tbl>
    <w:p>
      <w:r>
        <w:rPr>
          <w:i w:val="0"/>
        </w:rPr>
        <w:t>Cliente / Sponsor / PO: Marcos Correa Fernandez Turnes (AASP) — validação de requisitos, homologação e aceite.</w:t>
      </w:r>
    </w:p>
    <w:p>
      <w:pPr>
        <w:pStyle w:val="Heading1"/>
      </w:pPr>
      <w:r>
        <w:t>4. Ciclo de vida, marcos e esforço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Fase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Período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Esforço est. (h)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Realizado (h)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Fase 1 — Análise e Arquitetura</w:t>
            </w:r>
          </w:p>
        </w:tc>
        <w:tc>
          <w:tcPr>
            <w:tcW w:type="dxa" w:w="1728"/>
          </w:tcPr>
          <w:p>
            <w:r>
              <w:t>Out/2025–Jan/2026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Concluída</w:t>
            </w:r>
          </w:p>
        </w:tc>
      </w:tr>
      <w:tr>
        <w:tc>
          <w:tcPr>
            <w:tcW w:type="dxa" w:w="1728"/>
          </w:tcPr>
          <w:p>
            <w:r>
              <w:t>Fase 2 — Desenvolvimento EPROC/ESAJ</w:t>
            </w:r>
          </w:p>
        </w:tc>
        <w:tc>
          <w:tcPr>
            <w:tcW w:type="dxa" w:w="1728"/>
          </w:tcPr>
          <w:p>
            <w:r>
              <w:t>Dez/2025–Mar/2026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Concluída</w:t>
            </w:r>
          </w:p>
        </w:tc>
      </w:tr>
      <w:tr>
        <w:tc>
          <w:tcPr>
            <w:tcW w:type="dxa" w:w="1728"/>
          </w:tcPr>
          <w:p>
            <w:r>
              <w:t>Fase 3 — Estabilização EPROC/ESAJ</w:t>
            </w:r>
          </w:p>
        </w:tc>
        <w:tc>
          <w:tcPr>
            <w:tcW w:type="dxa" w:w="1728"/>
          </w:tcPr>
          <w:p>
            <w:r>
              <w:t>Mar/2026–Abr/2026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Concluída</w:t>
            </w:r>
          </w:p>
        </w:tc>
      </w:tr>
      <w:tr>
        <w:tc>
          <w:tcPr>
            <w:tcW w:type="dxa" w:w="1728"/>
          </w:tcPr>
          <w:p>
            <w:r>
              <w:t>Fase 4 — Desenvolvimento CNJ</w:t>
            </w:r>
          </w:p>
        </w:tc>
        <w:tc>
          <w:tcPr>
            <w:tcW w:type="dxa" w:w="1728"/>
          </w:tcPr>
          <w:p>
            <w:r>
              <w:t>Abr/2026–Mai/2026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Concluída</w:t>
            </w:r>
          </w:p>
        </w:tc>
      </w:tr>
      <w:tr>
        <w:tc>
          <w:tcPr>
            <w:tcW w:type="dxa" w:w="1728"/>
          </w:tcPr>
          <w:p>
            <w:r>
              <w:t>Fase 5 — Testes e Validação</w:t>
            </w:r>
          </w:p>
        </w:tc>
        <w:tc>
          <w:tcPr>
            <w:tcW w:type="dxa" w:w="1728"/>
          </w:tcPr>
          <w:p>
            <w:r>
              <w:t>Mai/2026–Jun/2026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Concluída</w:t>
            </w:r>
          </w:p>
        </w:tc>
      </w:tr>
      <w:tr>
        <w:tc>
          <w:tcPr>
            <w:tcW w:type="dxa" w:w="1728"/>
          </w:tcPr>
          <w:p>
            <w:r>
              <w:t>Fase 6 — Implantação e Complementos</w:t>
            </w:r>
          </w:p>
        </w:tc>
        <w:tc>
          <w:tcPr>
            <w:tcW w:type="dxa" w:w="1728"/>
          </w:tcPr>
          <w:p>
            <w:r>
              <w:t>Jun/2026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Em apuração</w:t>
            </w:r>
          </w:p>
        </w:tc>
        <w:tc>
          <w:tcPr>
            <w:tcW w:type="dxa" w:w="1728"/>
          </w:tcPr>
          <w:p>
            <w:r>
              <w:t>Concluída</w:t>
            </w:r>
          </w:p>
        </w:tc>
      </w:tr>
    </w:tbl>
    <w:p>
      <w:r>
        <w:rPr>
          <w:i w:val="0"/>
        </w:rPr>
        <w:t>Esforço: ~586 h estimado · ~624 h realizado (parcial). Abertura 01/10/2025; baseline do Plano 08/06/2026; encerramento 30/06/2026. Gestão ágil: backlog modelado em 20 histórias (155 SP) em Discovery + 11 sprints (velocity ~14 SP/sprint), com SP/horas na GEST-AASPCNJ01; histórias e sprints refletidos em issues e milestones no GitLab. (PLA-AASPCNJ01-001 / RAC-AASPCNJ01-001)</w:t>
      </w:r>
    </w:p>
    <w:p>
      <w:pPr>
        <w:pStyle w:val="Heading1"/>
      </w:pPr>
      <w:r>
        <w:t>5. Riscos</w:t>
      </w:r>
    </w:p>
    <w:p>
      <w:r>
        <w:rPr>
          <w:i w:val="0"/>
        </w:rPr>
        <w:t>Riscos identificados, tratados e monitorados conforme EST-GPC-002 e PLA-AASPCNJ01-001 §9 (destaque: segredo de justiça sem cobertura no CNJ — endereçado por fallback por instância; instabilidade de crawler — endereçada pela arquitetura de fontes com fallback). Decisões arquiteturais correlatas em GDE-AASPCNJ01-001.</w:t>
      </w:r>
    </w:p>
    <w:p>
      <w:pPr>
        <w:pStyle w:val="Heading1"/>
      </w:pPr>
      <w:r>
        <w:t>6. Indicadores consolidados (MED-AASPCNJ01-001)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Redução de custo mensal</w:t>
            </w:r>
          </w:p>
        </w:tc>
        <w:tc>
          <w:tcPr>
            <w:tcW w:type="dxa" w:w="2160"/>
          </w:tcPr>
          <w:p>
            <w:r>
              <w:t>≥ R$ 12.500/mês</w:t>
            </w:r>
          </w:p>
        </w:tc>
        <w:tc>
          <w:tcPr>
            <w:tcW w:type="dxa" w:w="2160"/>
          </w:tcPr>
          <w:p>
            <w:r>
              <w:t>~R$ 14.670/mês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Economia anual projetada</w:t>
            </w:r>
          </w:p>
        </w:tc>
        <w:tc>
          <w:tcPr>
            <w:tcW w:type="dxa" w:w="2160"/>
          </w:tcPr>
          <w:p>
            <w:r>
              <w:t>≥ R$ 150.000/ano</w:t>
            </w:r>
          </w:p>
        </w:tc>
        <w:tc>
          <w:tcPr>
            <w:tcW w:type="dxa" w:w="2160"/>
          </w:tcPr>
          <w:p>
            <w:r>
              <w:t>~R$ 176.040/ano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Cobertura de tribunais</w:t>
            </w:r>
          </w:p>
        </w:tc>
        <w:tc>
          <w:tcPr>
            <w:tcW w:type="dxa" w:w="2160"/>
          </w:tcPr>
          <w:p>
            <w:r>
              <w:t>Todos os cobertos pelo CNJ</w:t>
            </w:r>
          </w:p>
        </w:tc>
        <w:tc>
          <w:tcPr>
            <w:tcW w:type="dxa" w:w="2160"/>
          </w:tcPr>
          <w:p>
            <w:r>
              <w:t>Cobertura universal via DataJud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Conformidade GQA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 (GQA-AASPCNJ01-001)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Critérios de aceite (V&amp;V)</w:t>
            </w:r>
          </w:p>
        </w:tc>
        <w:tc>
          <w:tcPr>
            <w:tcW w:type="dxa" w:w="2160"/>
          </w:tcPr>
          <w:p>
            <w:r>
              <w:t>Validados</w:t>
            </w:r>
          </w:p>
        </w:tc>
        <w:tc>
          <w:tcPr>
            <w:tcW w:type="dxa" w:w="2160"/>
          </w:tcPr>
          <w:p>
            <w:r>
              <w:t>CA01–CA07 validados por amostragem (REL-VV)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</w:tbl>
    <w:p>
      <w:pPr>
        <w:pStyle w:val="Heading1"/>
      </w:pPr>
      <w:r>
        <w:t>7. Linha de base documental — registros do projeto</w:t>
      </w:r>
    </w:p>
    <w:p>
      <w:r>
        <w:rPr>
          <w:i w:val="0"/>
        </w:rPr>
        <w:t>Inventário em 00_INDICE-AASPCNJ01 (TAP, PLA, REQ, PCP, ADAP, ITP, VV, REL-VV, GCO, GDE, MED, RASTR, RAC, CR-001/002, ATA-001, GQA, CAP, REV-001) + GEST-AASPCNJ01 (planilha de gestão). Encerramento (Fase 7): TAE-AASPCNJ01-001 (Termo de Encerramento e Aceite, com Lições integradas).</w:t>
      </w:r>
    </w:p>
    <w:p>
      <w:pPr>
        <w:pStyle w:val="Heading1"/>
      </w:pPr>
      <w:r>
        <w:t>8. Status atual e encerramento</w:t>
      </w:r>
    </w:p>
    <w:p>
      <w:r>
        <w:rPr>
          <w:i w:val="0"/>
        </w:rPr>
        <w:t>Desenvolvimento concluído (Fases 1–6) e implantado em produção via GMUD. Critérios de aceite (CA01–CA07) validados; auditoria de GQA 100% conforme (auditor independente Jonathan Barbosa). Projeto encerrado formalmente em 30/06/2026 — ver TAE-AASPCNJ01-001.</w:t>
      </w:r>
    </w:p>
    <w:p>
      <w:pPr>
        <w:pStyle w:val="Heading1"/>
      </w:pPr>
      <w:r>
        <w:t>Histórico de revisões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08/06/2026</w:t>
            </w:r>
          </w:p>
        </w:tc>
        <w:tc>
          <w:tcPr>
            <w:tcW w:type="dxa" w:w="2160"/>
          </w:tcPr>
          <w:p>
            <w:r>
              <w:t>Gerente de Projeto</w:t>
            </w:r>
          </w:p>
        </w:tc>
        <w:tc>
          <w:tcPr>
            <w:tcW w:type="dxa" w:w="2160"/>
          </w:tcPr>
          <w:p>
            <w:r>
              <w:t>Consolidação da linha de base do projeto AASP_CNJ a partir dos registros formais existentes. Baseline aprovada.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30/06/2026</w:t>
            </w:r>
          </w:p>
        </w:tc>
        <w:tc>
          <w:tcPr>
            <w:tcW w:type="dxa" w:w="2160"/>
          </w:tcPr>
          <w:p>
            <w:r>
              <w:t>Gerente de Projeto</w:t>
            </w:r>
          </w:p>
        </w:tc>
        <w:tc>
          <w:tcPr>
            <w:tcW w:type="dxa" w:w="2160"/>
          </w:tcPr>
          <w:p>
            <w:r>
              <w:t>Projeto encerrado em 30/06/2026; status atualizado e aceite final registrado em TAE-AASPCNJ01-001.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