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ENCERRAMENTO E ACEITE DO PROJETO — AASP_CNJ · WORKERANDAMENTOS</w:t>
      </w:r>
    </w:p>
    <w:p>
      <w:r>
        <w:rPr>
          <w:i w:val="0"/>
        </w:rPr>
        <w:t>TAE-AASPCNJ01-001   ·   Versão 1.0   ·   30/06/2026   ·   Timeware Brasil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TAE-AASPCNJ01-001 — Termo de Encerramento e Aceite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AASP_CNJ — WorkerAndamentos: Agente de Captura de Andamentos Processuais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 de encerramento</w:t>
            </w:r>
          </w:p>
        </w:tc>
        <w:tc>
          <w:tcPr>
            <w:tcW w:type="dxa" w:w="4320"/>
          </w:tcPr>
          <w:p>
            <w:r>
              <w:t>30/06/2026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Processo MPS-SW</w:t>
            </w:r>
          </w:p>
        </w:tc>
        <w:tc>
          <w:tcPr>
            <w:tcW w:type="dxa" w:w="4320"/>
          </w:tcPr>
          <w:p>
            <w:r>
              <w:t>GPR — Encerramento (Fase 7 do PRO-GPC-001)</w:t>
            </w:r>
          </w:p>
        </w:tc>
      </w:tr>
    </w:tbl>
    <w:p>
      <w:pPr>
        <w:pStyle w:val="Heading1"/>
      </w:pPr>
      <w:r>
        <w:t>1. Resumo do projeto</w:t>
      </w:r>
    </w:p>
    <w:p>
      <w:r>
        <w:rPr>
          <w:i w:val="0"/>
        </w:rPr>
        <w:t>Reconstrução do modelo de captura de andamentos da AASP com duas fontes complementares (EPROC/ESAJ + DataJud/CNJ), fallback em 3 níveis, RabbitMQ unificado, desligamento das parceiras pós-CNJ e controle de segredo por instância. Período: 01/10/2025 a 30/06/2026 (6 fases + encerramento). Linha de base em REG-AASPCNJ01-001. Implantado em produção via GMUD.</w:t>
      </w:r>
    </w:p>
    <w:p>
      <w:pPr>
        <w:pStyle w:val="Heading1"/>
      </w:pPr>
      <w:r>
        <w:t>2. Entregas realizadas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Entrega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Situação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Agente de captura EPROC/ESAJ (Puppeteer headless)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Contorno de captcha Cloudflare estudado na Fase 1</w:t>
            </w:r>
          </w:p>
        </w:tc>
      </w:tr>
      <w:tr>
        <w:tc>
          <w:tcPr>
            <w:tcW w:type="dxa" w:w="2880"/>
          </w:tcPr>
          <w:p>
            <w:r>
              <w:t>Integração DataJud/CNJ como fonte primária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Para NUPs com CodigoFonteAPI nulo</w:t>
            </w:r>
          </w:p>
        </w:tc>
      </w:tr>
      <w:tr>
        <w:tc>
          <w:tcPr>
            <w:tcW w:type="dxa" w:w="2880"/>
          </w:tcPr>
          <w:p>
            <w:r>
              <w:t>Roteamento por fonte + fallback em 3 níveis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CNJ → EPROC/ESAJ → parceiras</w:t>
            </w:r>
          </w:p>
        </w:tc>
      </w:tr>
      <w:tr>
        <w:tc>
          <w:tcPr>
            <w:tcW w:type="dxa" w:w="2880"/>
          </w:tcPr>
          <w:p>
            <w:r>
              <w:t>RabbitMQ unificado + webhook p/ AndamentosProcessuais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Independente do tribunal; indexação no Elasticsearch</w:t>
            </w:r>
          </w:p>
        </w:tc>
      </w:tr>
      <w:tr>
        <w:tc>
          <w:tcPr>
            <w:tcW w:type="dxa" w:w="2880"/>
          </w:tcPr>
          <w:p>
            <w:r>
              <w:t>Desligamento das APIs parceiras pós-CNJ (com log)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Fim do custo redundante das parceiras</w:t>
            </w:r>
          </w:p>
        </w:tc>
      </w:tr>
      <w:tr>
        <w:tc>
          <w:tcPr>
            <w:tcW w:type="dxa" w:w="2880"/>
          </w:tcPr>
          <w:p>
            <w:r>
              <w:t>Controle de segredo de justiça por instância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Fallback por instância (CNJ não cobre segredo)</w:t>
            </w:r>
          </w:p>
        </w:tc>
      </w:tr>
      <w:tr>
        <w:tc>
          <w:tcPr>
            <w:tcW w:type="dxa" w:w="2880"/>
          </w:tcPr>
          <w:p>
            <w:r>
              <w:t>Gestão compartilhada do token Bearer CNJ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Renovação automática entre workers</w:t>
            </w:r>
          </w:p>
        </w:tc>
      </w:tr>
      <w:tr>
        <w:tc>
          <w:tcPr>
            <w:tcW w:type="dxa" w:w="2880"/>
          </w:tcPr>
          <w:p>
            <w:r>
              <w:t>Implantação em produção (GMUD)</w:t>
            </w:r>
          </w:p>
        </w:tc>
        <w:tc>
          <w:tcPr>
            <w:tcW w:type="dxa" w:w="2880"/>
          </w:tcPr>
          <w:p>
            <w:r>
              <w:t>Concluída</w:t>
            </w:r>
          </w:p>
        </w:tc>
        <w:tc>
          <w:tcPr>
            <w:tcW w:type="dxa" w:w="2880"/>
          </w:tcPr>
          <w:p>
            <w:r>
              <w:t>Fase 6</w:t>
            </w:r>
          </w:p>
        </w:tc>
      </w:tr>
    </w:tbl>
    <w:p>
      <w:pPr>
        <w:pStyle w:val="Heading1"/>
      </w:pPr>
      <w:r>
        <w:t>3. Escopo: planejado × realizado</w:t>
      </w:r>
    </w:p>
    <w:p>
      <w:r>
        <w:rPr>
          <w:i w:val="0"/>
        </w:rPr>
        <w:t>Escopo realizado conforme a baseline: 12 RF + RNF (REQ-AASPCNJ01-001), com rastreabilidade integral em RASTR-AASPCNJ01-001 e critérios de aceite CA01–CA07 validados (REL-VV-AASPCNJ01-001). Change requests aprovados: CR-AASPCNJ01-001 (pausa/retomada da 2ª instância EPROC) e CR-AASPCNJ01-002. Esforço ~586 h estimado × ~624 h realizado; o atraso decorre de escopo adicional acordado, não de produtividade. Metas de custo (economia ~R$ 176 mil/ano), cobertura (universal via CNJ) e estabilidade atingidas (MED-AASPCNJ01-001).</w:t>
      </w:r>
    </w:p>
    <w:p>
      <w:pPr>
        <w:pStyle w:val="Heading1"/>
      </w:pPr>
      <w:r>
        <w:t>4. Aceite do cliente</w:t>
      </w:r>
    </w:p>
    <w:p>
      <w:r>
        <w:rPr>
          <w:i w:val="0"/>
        </w:rPr>
        <w:t>O aceite final do projeto é registrado neste Termo (e na reunião de encerramento). Os aceites incrementais ocorreram nas validações de fase.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Cliente / responsável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Aceite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Ref.</w:t>
            </w:r>
          </w:p>
        </w:tc>
      </w:tr>
      <w:tr>
        <w:tc>
          <w:tcPr>
            <w:tcW w:type="dxa" w:w="2160"/>
          </w:tcPr>
          <w:p>
            <w:r>
              <w:t>Marcos Correa Fernandez Turnes (Cliente / Sponsor / PO — AASP)</w:t>
            </w:r>
          </w:p>
        </w:tc>
        <w:tc>
          <w:tcPr>
            <w:tcW w:type="dxa" w:w="2160"/>
          </w:tcPr>
          <w:p>
            <w:r>
              <w:t>Aprovado</w:t>
            </w:r>
          </w:p>
        </w:tc>
        <w:tc>
          <w:tcPr>
            <w:tcW w:type="dxa" w:w="2160"/>
          </w:tcPr>
          <w:p>
            <w:r>
              <w:t>30/06/2026</w:t>
            </w:r>
          </w:p>
        </w:tc>
        <w:tc>
          <w:tcPr>
            <w:tcW w:type="dxa" w:w="2160"/>
          </w:tcPr>
          <w:p>
            <w:r>
              <w:t>Registrado neste Termo (§4) e na reunião de encerramento</w:t>
            </w:r>
          </w:p>
        </w:tc>
      </w:tr>
    </w:tbl>
    <w:p>
      <w:pPr>
        <w:pStyle w:val="Heading1"/>
      </w:pPr>
      <w:r>
        <w:t>5. Transição / sustentação</w:t>
      </w:r>
    </w:p>
    <w:p>
      <w:r>
        <w:rPr>
          <w:i w:val="0"/>
        </w:rPr>
        <w:t>Solução implantada em produção via GMUD e incorporada à operação de captura. A sustentação segue com a equipe Timeware, no ciclo compartilhado com o projeto irmão AASP_AndamentosProcessuais (API AndamentosProcessuais / WorkerAndamentos).</w:t>
      </w:r>
    </w:p>
    <w:p>
      <w:pPr>
        <w:pStyle w:val="Heading1"/>
      </w:pPr>
      <w:r>
        <w:t>6. Lições aprendidas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 que ocorreu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Lição / recomendação</w:t>
            </w:r>
          </w:p>
        </w:tc>
      </w:tr>
      <w:tr>
        <w:tc>
          <w:tcPr>
            <w:tcW w:type="dxa" w:w="2880"/>
          </w:tcPr>
          <w:p>
            <w:r>
              <w:t>Segredo de justiça</w:t>
            </w:r>
          </w:p>
        </w:tc>
        <w:tc>
          <w:tcPr>
            <w:tcW w:type="dxa" w:w="2880"/>
          </w:tcPr>
          <w:p>
            <w:r>
              <w:t>O CNJ não retorna processos em segredo</w:t>
            </w:r>
          </w:p>
        </w:tc>
        <w:tc>
          <w:tcPr>
            <w:tcW w:type="dxa" w:w="2880"/>
          </w:tcPr>
          <w:p>
            <w:r>
              <w:t>Fallback obrigatório por instância (CNJ→EPROC/ESAJ→parceiras) — padrão para fontes com cobertura parcial</w:t>
            </w:r>
          </w:p>
        </w:tc>
      </w:tr>
      <w:tr>
        <w:tc>
          <w:tcPr>
            <w:tcW w:type="dxa" w:w="2880"/>
          </w:tcPr>
          <w:p>
            <w:r>
              <w:t>Modelo de custo</w:t>
            </w:r>
          </w:p>
        </w:tc>
        <w:tc>
          <w:tcPr>
            <w:tcW w:type="dxa" w:w="2880"/>
          </w:tcPr>
          <w:p>
            <w:r>
              <w:t>Parceiras cobram por instância; CNJ por processo</w:t>
            </w:r>
          </w:p>
        </w:tc>
        <w:tc>
          <w:tcPr>
            <w:tcW w:type="dxa" w:w="2880"/>
          </w:tcPr>
          <w:p>
            <w:r>
              <w:t>Migrar a fonte primária para o CNJ gerou ~R$ 176 mil/ano de economia — avaliar modelo de cobrança nas integrações</w:t>
            </w:r>
          </w:p>
        </w:tc>
      </w:tr>
      <w:tr>
        <w:tc>
          <w:tcPr>
            <w:tcW w:type="dxa" w:w="2880"/>
          </w:tcPr>
          <w:p>
            <w:r>
              <w:t>Captcha do TJSP</w:t>
            </w:r>
          </w:p>
        </w:tc>
        <w:tc>
          <w:tcPr>
            <w:tcW w:type="dxa" w:w="2880"/>
          </w:tcPr>
          <w:p>
            <w:r>
              <w:t>Cloudflare nos portais exigiu estudo de contorno (Fase 1)</w:t>
            </w:r>
          </w:p>
        </w:tc>
        <w:tc>
          <w:tcPr>
            <w:tcW w:type="dxa" w:w="2880"/>
          </w:tcPr>
          <w:p>
            <w:r>
              <w:t>Antecipar PoC de viabilidade de captura web antes de comprometer a arquitetura</w:t>
            </w:r>
          </w:p>
        </w:tc>
      </w:tr>
      <w:tr>
        <w:tc>
          <w:tcPr>
            <w:tcW w:type="dxa" w:w="2880"/>
          </w:tcPr>
          <w:p>
            <w:r>
              <w:t>Homologação sem ES dedicado</w:t>
            </w:r>
          </w:p>
        </w:tc>
        <w:tc>
          <w:tcPr>
            <w:tcW w:type="dxa" w:w="2880"/>
          </w:tcPr>
          <w:p>
            <w:r>
              <w:t>Validação por amostragem (repetição na fila, sem impacto no índice)</w:t>
            </w:r>
          </w:p>
        </w:tc>
        <w:tc>
          <w:tcPr>
            <w:tcW w:type="dxa" w:w="2880"/>
          </w:tcPr>
          <w:p>
            <w:r>
              <w:t>Documentar critérios de amostragem; foi suficiente para validar os CA</w:t>
            </w:r>
          </w:p>
        </w:tc>
      </w:tr>
      <w:tr>
        <w:tc>
          <w:tcPr>
            <w:tcW w:type="dxa" w:w="2880"/>
          </w:tcPr>
          <w:p>
            <w:r>
              <w:t>Token Bearer compartilhado</w:t>
            </w:r>
          </w:p>
        </w:tc>
        <w:tc>
          <w:tcPr>
            <w:tcW w:type="dxa" w:w="2880"/>
          </w:tcPr>
          <w:p>
            <w:r>
              <w:t>Renovação redundante entre workers</w:t>
            </w:r>
          </w:p>
        </w:tc>
        <w:tc>
          <w:tcPr>
            <w:tcW w:type="dxa" w:w="2880"/>
          </w:tcPr>
          <w:p>
            <w:r>
              <w:t>Gestão centralizada do token com renovação automática evita estouro de limite</w:t>
            </w:r>
          </w:p>
        </w:tc>
      </w:tr>
      <w:tr>
        <w:tc>
          <w:tcPr>
            <w:tcW w:type="dxa" w:w="2880"/>
          </w:tcPr>
          <w:p>
            <w:r>
              <w:t>Escopo adicional</w:t>
            </w:r>
          </w:p>
        </w:tc>
        <w:tc>
          <w:tcPr>
            <w:tcW w:type="dxa" w:w="2880"/>
          </w:tcPr>
          <w:p>
            <w:r>
              <w:t>CR-001/002 absorvidos com atraso</w:t>
            </w:r>
          </w:p>
        </w:tc>
        <w:tc>
          <w:tcPr>
            <w:tcW w:type="dxa" w:w="2880"/>
          </w:tcPr>
          <w:p>
            <w:r>
              <w:t>Registrar formalmente os CRs mesmo quando absorvidos — preserva rastreabilidade e análise de desvio</w:t>
            </w:r>
          </w:p>
        </w:tc>
      </w:tr>
    </w:tbl>
    <w:p>
      <w:pPr>
        <w:pStyle w:val="Heading1"/>
      </w:pPr>
      <w:r>
        <w:t>Registro de encerramento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Reunião de encerramento realizada 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Ref. da ata</w:t>
            </w:r>
          </w:p>
        </w:tc>
      </w:tr>
      <w:tr>
        <w:tc>
          <w:tcPr>
            <w:tcW w:type="dxa" w:w="4320"/>
          </w:tcPr>
          <w:p>
            <w:r>
              <w:t>30/06/2026</w:t>
            </w:r>
          </w:p>
        </w:tc>
        <w:tc>
          <w:tcPr>
            <w:tcW w:type="dxa" w:w="4320"/>
          </w:tcPr>
          <w:p>
            <w:r>
              <w:t>Aceite total registrado neste Termo (§4); alinhamentos em ATA-AASPCNJ01-001</w:t>
            </w:r>
          </w:p>
        </w:tc>
      </w:tr>
    </w:tbl>
    <w:p>
      <w:pPr>
        <w:pStyle w:val="Heading1"/>
      </w:pPr>
      <w:r>
        <w:t>Histórico de revisões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30/06/2026</w:t>
            </w:r>
          </w:p>
        </w:tc>
        <w:tc>
          <w:tcPr>
            <w:tcW w:type="dxa" w:w="2160"/>
          </w:tcPr>
          <w:p>
            <w:r>
              <w:t>Gerente de Projeto</w:t>
            </w:r>
          </w:p>
        </w:tc>
        <w:tc>
          <w:tcPr>
            <w:tcW w:type="dxa" w:w="2160"/>
          </w:tcPr>
          <w:p>
            <w:r>
              <w:t>Encerramento formal do projeto AASP_CNJ: entregas, escopo planejado×realizado, aceite final, transição e lições aprendidas. Consolidado de RAC/MED/GQA/REL-VV e da linha de base REG-AASPCNJ01-001.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