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PLA-PROFARMA01-001   ·   Versão Data   ·   Monitoramento e observabilidade de ambientes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unificando a base legada do ITEC em uma solução cloud-native na Microsoft Azure. O sistema adota CPF como chave primária, elimina duplicidades históricas entre bandeiras, expõe API RESTful para todos os canais (PDV, Balcão, Call Center, OMNI/VTEX) e integra-se ao ecossistema de parceiros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 e requisitos: ver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RF-12 conforme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</w:t>
      </w:r>
      <w:r>
        <w:rPr>
          <w:rFonts w:ascii="Calibri" w:hAnsi="Calibri"/>
          <w:b w:val="0"/>
          <w:i w:val="0"/>
          <w:sz w:val="22"/>
        </w:rPr>
        <w:t>. Em síntese: API de cadastro/consulta/atualização/inativação, integração ITEC (trigger/outbox), integração VTEX, Call Center, PBM/Interplayers, BlueSoft, CloseUp, Propz CRM, carga inicial saneada, worker de expurgo, piloto loja 9.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Modernização dos aplicativos D1000 Express e Connect D1000; desenvolvimento no ITEC legado; sustentação pós-piloto.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ADAP-PROFARMA01-001_Registro-de-Adaptacao.md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~2 semanas com dailys às 11h30 (Teams)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distribuída SP/RJ, alto volume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(repositórios da 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do cliente: loja-balcao-frontend, loja-backend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Boards + Jira (a partir de sprint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introduzido para maior visibilidade ao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tickets (Gustavo Mathias)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completo exportado em 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Viagens presenciais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Previstas quando ambiente travado ou pontos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médio R$ 5.000 por deslocamento (4 pessoas)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Recursos alocados:</w:t>
      </w:r>
      <w:r>
        <w:rPr>
          <w:rFonts w:ascii="Calibri" w:hAnsi="Calibri"/>
          <w:b w:val="0"/>
          <w:i w:val="0"/>
          <w:sz w:val="22"/>
        </w:rPr>
        <w:t xml:space="preserve"> 3 Dev Pleno (Timeware) + Tech Lead parcial + PM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total:</w:t>
      </w:r>
      <w:r>
        <w:rPr>
          <w:rFonts w:ascii="Calibri" w:hAnsi="Calibri"/>
          <w:b w:val="0"/>
          <w:i w:val="0"/>
          <w:sz w:val="22"/>
        </w:rPr>
        <w:t xml:space="preserve"> ~10 meses (março/2025 a janeiro/2026)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Modelo de contratação:</w:t>
      </w:r>
      <w:r>
        <w:rPr>
          <w:rFonts w:ascii="Calibri" w:hAnsi="Calibri"/>
          <w:b w:val="0"/>
          <w:i w:val="0"/>
          <w:sz w:val="22"/>
        </w:rPr>
        <w:t xml:space="preserve"> alocação mensalizada (squad dedicado)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 estimados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arquitetura e modelo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 (endpoints cadastro/consulta)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2–4; 16 endpoints, 273 testes unitários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(trigger/outbox)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e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5–6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+ worker de expurgo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13–14 (nov/2025)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e bug 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5+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9–15 (set–jan)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produtivo (Azure)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pStyle w:val="Heading2"/>
        <w:keepNext/>
        <w:keepLines/>
      </w:pPr>
      <w:r>
        <w:t>5.1 Linha do tempo consolidada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Marcos e eventos-chave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1 — Discovery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 – 27/04/2025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técnico; escolha de PostgreSQL, arquitetura cloud-native Azure, Clean Architecture .NET 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2 — Desenvolvimento (Sprints 1–6)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– 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Dailys estruturadas; model de dados (DER); 16 endpoints; testes unitários; integração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3 — Consolidação e apresentação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 – 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 (17/07); alinhamento de integridade de dados (23/07)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4 — Preparação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 – 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7–9; configuração de ambiente de homologação; carga inicial; worker de expurgo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5 — Testes e correções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 – 30/11/2025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homologação; status reports semanais; integração Propz; bug fixes intensivos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6 — Reta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01/12/2025 –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disponível para testes (04/12); GMUD 2624117 (21/01); liberação formal para testes (22/01); correções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Sprints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(aprox.)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28/04–09/05/2025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definida; Docker; DER v1; ambiente Azure inicial; dailys iniciadas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12/05–23/05/2025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DER v2; fluxo ITEC (trigger/outbox); endpoints iniciais; pipelines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 da base; testes automatizados (início); acesso JIRA liberado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API Gateway finalizada; VTEX no fluxo de cadastro; PostgreSQL sequencial único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apresentação Falcão; desenhos UML de arquitetura; checklist técnico pré-piloto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07/07–18/07/2025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(17/07); 16 endpoints entregues; 273 testes unitários; piloto loja 9 definido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21/07–01/08/2025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integridade dados (CPF como PK); modelo push; sanitização base legada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04/08–15/08/2025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Prometheus/Grafana (observabilidade); CloudTree loja-backend; documentação endpoints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18/08–29/08/2025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homologação configurado; início carga de clientes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01/09–12/09/2025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parcial (1 M de 20 M registros); worker de expurgo 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15/09–26/09/2025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dailys de teste; Datadog configurado; mapping cenários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29/09–10/10/2025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testes homologação (&lt;5% em 29/09 — aceleração exigida); status reports iniciados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13/10–24/10/2025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08/10, 14/10, 17/10; bloqueio acesso banco QA (14–21/10); retomada após desbloqueio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27/10–07/11/2025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piloto (04–05/11); proposta de infra produtiva Azure (03/11); bug id_cliente sequencial (06/11)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10/11–21/11/2025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histórico tickets; daily 10/11 registrada; integração Propz CRM iniciada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24/11–05/12/2025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concluído e disponível para testes (04/12); documentação Propz enviada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08/12–19/12/2025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25.12.1.1 do loja-backend; ajuste campos fidelidade/opt-in/opt-out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06/01–17/01/2026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Teams criada por Armando (06/01); status conflituoso com cliente (09/01); ajuste loja-backend URL HttpClient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20/01–29/01/2026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(21/01); PR 10684 loja-backend; liberação para testes (22/01); versão 26.1.1.1; deploy (26/01); PRs finais (27–29/01)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Eventos e comunicações formais relevantes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"Evolução do desenho e material" (Fireflies)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Tiago, Humberto, Armando, Diego, Marcelo, Alexandre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daily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urgente pré-apresentação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Armando, Erick, Tiago,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Falcão, Helena, Humberto, Fagner, Rafael, Diego, Tiago, Abraão, Marcus Ribeiro,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2,5 h (integridade de 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Humberto, Diego, Marcus Ribeiro, Tiago, Abraão, Rafael, Ethierre, Helena, Fagner,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com diagnóstico de atraso crítico (&lt;5%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Ethierre, Tiago, Marcelo, Erick, Abraão, Helena, Pedro,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 Azure (David Buena)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Timeware, Fabio Ruiz, Diego Lacerda, Armando, Marcelo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04–05/11/2025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planejamento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Pedro, Helena, Fagner, Rafael, Tiago, Abraão, Renan,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— liberação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Helena, Julielle, Armando, Fagner, Raony, Renan, Rafael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— divergência de percepção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 (discordância formal registrada)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— responsabilidade Timeware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Armando, Pedro,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deploy pelo cliente; e-mail de cronograma e impactos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→ equipe; Abraão → Pedro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disponibilizada no ambiente (Fagner)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→ Pedro, Abraão,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Últimos PRs com correções de testes (Renan)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→ Cézar, equipe completa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Timeware: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comunicação, viagens)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(decisões técnicas, PRs críticos)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 da solução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Gustavo Mathias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8–19)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João Cruz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13–19)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 14 — proposta infra)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15–19)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Rede D1000/Profarma: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go/no-go, aprovações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arquitetura, aprovação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ambientes, aprovação de versões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interna, convites,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de negócio, validações PBM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ITEC, arquitetura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sanitização,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ambientes,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carga, base d1000_producao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infraestrutura Profarma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Azure (AKS, PostgreSQL, Service Bus, Key Vault)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produção do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(loja-balcao-frontend, loja-backend)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código, pipelines CI/CD,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 e sprints (a partir de sprint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diário com cliente (11h30)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e observabilidade de ambientes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+ Grafana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interna (sprints 8+)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/ frequência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Go/no-go do piloto;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formal; escalonamentos críticos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executiva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Apresentações pontuais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11h30 via Teams; e-mails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versões,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E-mails; aprovação de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técnico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e deploys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Daily; e-mails de status;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técnica, decisões arquiteturais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interna 9h00; alinhamentos ad-hoc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Status, comunicação formal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semanais (out–nov/2025)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final da fase de piloto (loja 9), o sistema é promovido para rollout geral nas demais lojas da Rede D1000. A operação e sustentação pós-piloto são objeto de contrato separado de sustentação. A documentação técnica e de arquitetura (</w:t>
      </w:r>
      <w:r>
        <w:rPr>
          <w:rFonts w:ascii="Courier New" w:hAnsi="Courier New"/>
          <w:b w:val="0"/>
          <w:i w:val="0"/>
          <w:color w:val="333333"/>
          <w:sz w:val="20"/>
        </w:rPr>
        <w:t>PCP-PROFARMA01-001</w:t>
      </w:r>
      <w:r>
        <w:rPr>
          <w:rFonts w:ascii="Calibri" w:hAnsi="Calibri"/>
          <w:b w:val="0"/>
          <w:i w:val="0"/>
          <w:sz w:val="22"/>
        </w:rPr>
        <w:t>) é entregue à Rede D1000 como parte da base de conhecimento para a equipe interna.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O que ocorreu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Demora da Rede D1000 para aplicar merges e atualizar ambientes (blockers de validação)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recorrente: Timeware entregava em 1 dia, D1000 levava 7–15 dias para aplicar. Formalizado em e-mail para Pedro Costa em 23/01/2026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legados com CPFs duplicados e FKs complexas, impedindo scripts de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07/11/2025: script de 113 GB gerado; execução bloqueada por CPFs duplicados (Marcus Ribeiro). Exigiu sanitização manual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de dados de homologação negado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21/10/2025: acesso bloqueado por ~7 dias; impacto documentado em e-mail interno (21/10/2025)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Conflito de branches em versões simultâneas do loja-backend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23/01/2026: PR 10684 foi descartado pois merge já havia sido feito na versão 26.1.1.1; retrabalho exigido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URLs hardcoded em vez de banco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jan/2026: URL do HttpClient sendo truncada; Humberto ordenou migração para parâmetros em banco (19/01/2026)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Sequencial de IDs divergente entre API e banco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06/11/2025: id_cliente gravado com sequencial divergente; script de correção solicitado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múltiplos sistemas externos (ITEC, VTEX, Propz, PBM) gerando atrasos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atrasou para novembro/2025; PBM exigiu reuniões com Interplayers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Divergência de percepção de responsabilidade pelo atraso entre Timeware 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Reputacional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Materializado em 09/01/2026: Armando discordou integralmente do status report da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viável e concluído em janeiro de 2026, com a entrega das correções finais solicitadas pela equipe de QA da Rede D1000. A viabilidade foi testada por múltiplos blockers de infra, dados e integração, mas o time manteve o ritmo de entregas. O principal fator de extensão do cronograma foi a cadência de aplicação de ambiente pela Rede D1000 (risco R-01 materializado).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verbalmente na apresentação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Fireflies transcript — Projeto Cadastro de Cliente - Apresentação do plano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via 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Re: Status do Projeto Cadastro de Clientes – Liberação para Testes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Planejado na tabela §5.2 (573 SP totais) para consistência com a planilha de gestão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