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REUNIÃO — ALINHAMENTO TÉCNICO DO FLUXO DE CAPTURA API CNJ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Time   ·   Versão Data   ·   Abraão Oliveira / time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Reunião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e entendimento do fluxo da API CNJ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 / contexto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AASP_CNJ — WorkerAndamentos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07/04/2026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Local / meio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Videoconferência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Tech Lead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Sênior (Principal)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Levi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(Suporte)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Apresentação do novo fluxo de captura via API DataJud/CNJ.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Definição de responsabilidades para a Fase 4.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Integração do desenvolvedor de suporte incorporado ao time.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Discussões e definições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Gerente de Projeto apresentou o fluxo completo da nova arquitetura: funcionamento da API DataJud, lógica de roteamento por </w:t>
      </w:r>
      <w:r>
        <w:rPr>
          <w:rFonts w:ascii="Courier New" w:hAnsi="Courier New"/>
          <w:b w:val="0"/>
          <w:i w:val="0"/>
          <w:color w:val="333333"/>
          <w:sz w:val="20"/>
        </w:rPr>
        <w:t>CodigoFonteAPI</w:t>
      </w:r>
      <w:r>
        <w:rPr>
          <w:rFonts w:ascii="Calibri" w:hAnsi="Calibri"/>
          <w:b w:val="0"/>
          <w:i w:val="0"/>
          <w:sz w:val="22"/>
        </w:rPr>
        <w:t>, mecanismos de fallback (CNJ → EPROC/ESAJ → parceiras) e modelo de dados de gravação no Elasticsearch (</w:t>
      </w:r>
      <w:r>
        <w:rPr>
          <w:rFonts w:ascii="Courier New" w:hAnsi="Courier New"/>
          <w:b w:val="0"/>
          <w:i w:val="0"/>
          <w:color w:val="333333"/>
          <w:sz w:val="20"/>
        </w:rPr>
        <w:t>IModelElastic</w:t>
      </w:r>
      <w:r>
        <w:rPr>
          <w:rFonts w:ascii="Calibri" w:hAnsi="Calibri"/>
          <w:b w:val="0"/>
          <w:i w:val="0"/>
          <w:sz w:val="22"/>
        </w:rPr>
        <w:t>). Foi alinhado o enfileiramento unificado no RabbitMQ e a gestão compartilhada do token Bearer.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Decisões e aceites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/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Adotar a DataJud/CNJ como fonte primária universal (D02)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/ time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Unificar a fila RabbitMQ (D03)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/ time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Token Bearer compartilhado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PonteAPI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(D04)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07/04/2026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Normalização do JSON CNJ no worker (D05)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07/04/2026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(Decisões detalhadas em GDE-AASPCNJ01-001.)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Ações (follow-up)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Desenvolver o worker de requisição CNJ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Implementar enfileiramento unificado com verificação de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CodigoFonteAPI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Onboarding do desenvolvedor de suporte no fluxo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Próximos passos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Início da Fase 4 (Desenvolvimento CNJ): captura via DataJud, fluxo de gravação via webhook e lógica de fallback.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do alinhamento de 07/04/2026 reconstituída a partir do Registro de Projeto AASP_CNJ v1.0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Abraão Oliveira / time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Abraão Oliveira / time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Time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