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Revisão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 — Registro de Capacitação da Equipe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composição da equipe e as práticas de transferência de conhecimento adotadas ao longo do projeto, em especial a integração de um desenvolvedor de suporte e a disseminação do fluxo da nova arquitetura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Equipe alocada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Membro (papel)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de atuação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— 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— Arquiteto de Software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1, 2, 3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— 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2, 3, 4, 5, 6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Levi — 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4, 5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— Analista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— Infraestrutura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e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Integração formal de membro ao time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Em abril/2026, um desenvolvedor de suporte foi incorporado para auxiliar o Desenvolvedor Sênior (Raony) nas atividades de maior volume da integração CNJ. A integração foi conduzida na reunião de alinhamento de 07/04/2026 (ATA-AASPCNJ01-001), na qual foram apresentados o funcionamento da API DataJud, a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os mecanismos de fallback e o modelo de gravação no Elasticsearch.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Práticas de transferência de conhecimento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(code review)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nas integrações de branches no Azure DevOps, garantindo ciência das mudanças por todo o time (ver REV-AASPCNJ01-001)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Estado do projeto e decisões técnicas compartilhados e registrados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registros de banco disponibilizados no Azure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Continuidade durante férias do GP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específico para garantir autonomia do time no período de ausência do gestor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Observações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já atuava com as tecnologias core (.NET, Azure DevOps, RabbitMQ, Elasticsearch), dispensando treinamento formal específico. As ações de preparo focaram no contexto da nova arquitetura de captura (DataJud/CNJ e fallback). O Plano de Capacitação Organizacional aplicável está registrado em PLA-CAP-001.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Revisão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