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NUPs pendentes e os enfileira no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que consomem a fila, consultam as fontes e enviam resultados via webhook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interna que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com NUP (fila unificada)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REST, autenticação Bearer (token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TJSP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Puppeteer (navegador headless)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(por ordem de prioridade)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EPROC/ESAJ (TJSP)</w:t>
      </w:r>
      <w:r>
        <w:rPr>
          <w:rFonts w:ascii="Calibri" w:hAnsi="Calibri"/>
          <w:b w:val="0"/>
          <w:i w:val="0"/>
          <w:sz w:val="22"/>
        </w:rPr>
        <w:t xml:space="preserve"> — primeira integração (Fase 2), cobrindo o tribunal de maior volume.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DataJud/CNJ</w:t>
      </w:r>
      <w:r>
        <w:rPr>
          <w:rFonts w:ascii="Calibri" w:hAnsi="Calibri"/>
          <w:b w:val="0"/>
          <w:i w:val="0"/>
          <w:sz w:val="22"/>
        </w:rPr>
        <w:t xml:space="preserve"> — fonte primária universal (Fase 4), com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fila unificada.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Fallback e desligamento de parceiras</w:t>
      </w:r>
      <w:r>
        <w:rPr>
          <w:rFonts w:ascii="Calibri" w:hAnsi="Calibri"/>
          <w:b w:val="0"/>
          <w:i w:val="0"/>
          <w:sz w:val="22"/>
        </w:rPr>
        <w:t xml:space="preserve"> — integração das parceiras como fallback final e rotina de desligamento de NUP após captura via CNJ.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Cada mensagem da fila contém o NUP e as informações para o worker determinar a fonte. Em retorno vazio/aguardando das parceiras, o worker publica um novo item ao final da fila para revisita posterior.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Azure DevOps (controle de versão e pipeline CI/CD); hospedagem dos workers e APIs internas em AWS; RabbitMQ como broker de mensagens.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(ver REV-AASPCNJ01-001).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(consulta → autenticação → recebimento do JSON → webhook → indexação) foi validado por testes de integração e de fluxo (E2E), incluindo cenários de sucesso, fallback e erro parcial por instância. Detalhes em VV-AASPCNJ01-001 e REL-VV-AASPCNJ01-001. Mecanismo de retry no envio ao webhook implementado na Fase 5 para aumentar a resiliência.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publicação, validação em homologação e agendamento com a Infraestrutura. Material de apoio: coleções Postman da API CNJ e scripts de banco, versionados no Azure DevOps (pasta </w:t>
      </w:r>
      <w:r>
        <w:rPr>
          <w:rFonts w:ascii="Courier New" w:hAnsi="Courier New"/>
          <w:b w:val="0"/>
          <w:i w:val="0"/>
          <w:color w:val="333333"/>
          <w:sz w:val="20"/>
        </w:rPr>
        <w:t>/docs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/db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ITP-AASPCNJ01-001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