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REQUISITOS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REQ-AASPCNJ01-001   ·   Versão Data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 (Discovery)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(GP / Tech Lead) · Cézar (Arquiteto)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 e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AASP oferece a seus associados uma plataforma centralizada de monitoramento de processos judiciais em múltiplos tribunais. A Timeware opera o sistema de captura que consulta as fontes dos tribunais e persiste os dados na base da AASP, indexando-os em Elasticsearch. O modelo de captura vigente apresentava instabilidade dos crawlers, cobertura incompleta, custo elevado (~R$ 16.500/mês) e arquitetura monolítica sem observabilidade. A fila de processamento chegou a acumular 137 mil itens não processados. O objetivo é reconstruir a captura com base em um agente nativo EPROC/ESAJ para o TJSP e na API DataJud/CNJ como fonte primária universal, com roteamento por processo e fallback estruturado.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 principal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Associados da AASP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confiável e atualizado dos andamentos em todos os tribunais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Carlos Alves (Representante do Cliente — AASP)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ampla, custo reduzido e estabilidade da captura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Operação Timeware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Observabilidade, reprocessamento seletivo e escalonamento independente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Dois componentes coordenados: o </w:t>
      </w:r>
      <w:r>
        <w:rPr>
          <w:rFonts w:ascii="Calibri" w:hAnsi="Calibri"/>
          <w:b/>
          <w:i w:val="0"/>
          <w:sz w:val="22"/>
        </w:rPr>
        <w:t>CapturaServer</w:t>
      </w:r>
      <w:r>
        <w:rPr>
          <w:rFonts w:ascii="Calibri" w:hAnsi="Calibri"/>
          <w:b w:val="0"/>
          <w:i w:val="0"/>
          <w:sz w:val="22"/>
        </w:rPr>
        <w:t xml:space="preserve"> (serviço Windows que identifica NUPs pendentes e os enfileira no RabbitMQ) e o </w:t>
      </w:r>
      <w:r>
        <w:rPr>
          <w:rFonts w:ascii="Calibri" w:hAnsi="Calibri"/>
          <w:b/>
          <w:i w:val="0"/>
          <w:sz w:val="22"/>
        </w:rPr>
        <w:t>WorkerAndamentos</w:t>
      </w:r>
      <w:r>
        <w:rPr>
          <w:rFonts w:ascii="Calibri" w:hAnsi="Calibri"/>
          <w:b w:val="0"/>
          <w:i w:val="0"/>
          <w:sz w:val="22"/>
        </w:rPr>
        <w:t xml:space="preserve"> (workers que leem a fila, consultam as fontes e enviam os resultados à API AndamentosProcessuais via webhook). O roteamento de fonte é feito pelo campo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 xml:space="preserve">. Projeto de back-end, </w:t>
      </w:r>
      <w:r>
        <w:rPr>
          <w:rFonts w:ascii="Calibri" w:hAnsi="Calibri"/>
          <w:b/>
          <w:i w:val="0"/>
          <w:sz w:val="22"/>
        </w:rPr>
        <w:t>sem interface de usuário</w:t>
      </w:r>
      <w:r>
        <w:rPr>
          <w:rFonts w:ascii="Calibri" w:hAnsi="Calibri"/>
          <w:b w:val="0"/>
          <w:i w:val="0"/>
          <w:sz w:val="22"/>
        </w:rPr>
        <w:t xml:space="preserve"> (UX/UI não aplicável).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Requisitos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Origem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 e cobertura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Consultar a API DataJud/CNJ como fonte primária para todos os NUPs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nulo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Instabilidade de crawler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Capturar via engine EPROC/ESAJ para processos do TJSP quando a API CNJ não retornar resultado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monolítica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Ler a fila RabbitMQ de forma unificada, independente do tribunal de origem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 de APIs parceiras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captura via CNJ, identificar e desligar o processo nas APIs parceiras, registrando log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 operacional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Gerenciar o token Bearer da API CNJ de forma compartilhada entre instâncias, com renovação automática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 operacional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Registrar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na tabela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para rastrear a fonte de cada captura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 operacional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Tratar fallback para APIs parceiras quando CNJ e EPROC/ESAJ falharem, por ordem de prioridade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 operacional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Tratar todos os retornos das parceiras: NUP inválido, vazio/aguardando, erro total e erro parcial por instância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Observabilidade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Registrar erros detalhados no 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Observacao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das tabelas de controle, por instância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 de negócio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Identificar e registrar processos em segredo de justiça por instância, diferenciando acessíveis de restritas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 operacional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Enviar os dados capturados à API AndamentosProcessuais via webhook para indexação no Elasticsearch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 operacional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CapturaServer deve enfileirar todos os processos no RabbitMQ de forma unificada, independente do tribunal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Requisitos não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Desempenho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Suportar múltiplos workers concorrentes na mesma fila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conflito de token ou de reserva de NUP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Confiabilidade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Retomar o processamento após travamento de fila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intervenção manual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Registrar todos os estados de captura nas tabelas de controle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Data, status e observação de erro quando aplicável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Manutenibilidade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Permitir adição de novas fontes de captura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refatoração do fluxo principal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Segurança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Armazenar e renovar o token Bearer da CNJ de forma centralizada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exposição em logs de aplicação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Reduzir o custo de captura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Redução ≥ R$ 150.000 anuais vs. modelo anterior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Restrições e premissas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API DataJud/CNJ não retorna dados de processos em segredo de justiça (fallback obrigatório).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Diferentes tribunais exigem diferentes credenciais para segredo (usuário/senha, certificado A1, QR Code).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Homologação por amostragem, sem ambiente de Elasticsearch dedicado para testes.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API DataJud/CNJ permanece disponível, com a cobertura declarada e custo de R$ 0,01/processo.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Associados com processos em segredo fornecem as credenciais necessárias via gerenciador quando solicitado.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Validação dos requisitos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Requisito/conjunto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 de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de captura CNJ (RF-01, RF-05, RF-11)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técnico com o time e validação de fluxo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(ATA-AASPCNJ01-001)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completo e critérios de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fluxo e validação por amostragem (Fase 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Mai–Jun/2026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(ver VV-AASPCNJ01-001 e REL-VV-AASPCNJ01-001)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Confirmação de entendimento e compromisso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Confirmação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Carlos Alves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Entendimento dos objetivos de cobertura, custo e estabilidade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desenvolvimento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Compromisso técnico assumido na apresentação do fluxo CNJ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07/04/2026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 consolidado a partir do Registro de Projeto AASP_CNJ v1.0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REQ-AASPCNJ01-001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