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PCP-PROFARMA01-001   ·   Versão Data   ·   17/07/2025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sistema de Cadastro de Clientes da Rede D1000 é uma API RESTful cloud-native desenvolvida em .NET 8, hospedada no Azure Kubernetes Service (AKS). Substitui a gestão de cadastro dispersa no ITEC legado por uma base única e confiável, com CPF como chave primária, servindo todos os canais da rede.</w:t>
      </w:r>
    </w:p>
    <w:p>
      <w:pPr>
        <w:pStyle w:val="Heading2"/>
        <w:keepNext/>
        <w:keepLines/>
      </w:pPr>
      <w:r>
        <w:t>1.1 Canais e consumidores da 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 /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física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Terminal de atendimento e ponto de venda nas lojas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Atendimento telefônico centralizado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Aplicativo próprio da rede para clientes finais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Parceiro (iFood / Rappi)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Mobile / Marketplace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plataformas de entrega de medicamentos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E-commerce VTEX (OMNI)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 / 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digital via plataforma VTEX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parceiro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de venda parceiro integrado à rede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1 / Loja 2 / Loja 3 (e demais)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física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Rollout progressivo para todas as lojas da rede após o piloto na loja 9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Arquitetura da solução</w:t>
      </w:r>
    </w:p>
    <w:p>
      <w:pPr>
        <w:pStyle w:val="Heading2"/>
        <w:keepNext/>
        <w:keepLines/>
      </w:pPr>
      <w:r>
        <w:t>2.1 Visão de camadas (Clean Architecture)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API Layer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(Controllers, Middlewares, Authentication)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└────────────────────────┬────────────────────────────────────┘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┌────────────────────────▼────────────────────────────────────┐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Application Layer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(Use Cases, Commands, Queries, Handlers, DTOs)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└────────────────────────┬────────────────────────────────────┘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┌────────────────────────▼────────────────────────────────────┐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Domain Layer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(Entities, Value Objects, Domain Events, Interfaces)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└────────────────────────┬────────────────────────────────────┘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┌────────────────────────▼────────────────────────────────────┐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Infrastructure Layer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(EF Core + PostgreSQL, Service Bus, HTTP Clients, Outbox)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2.2 Componentes de infraestrutura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Tecnologia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Gateway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entrada único para todos os canais; gerencia autenticação, rate limiting e roteamento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 Balancer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Load Balancer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Distribuição de tráfego entre os pods da API no AKS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Ingress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Kubernetes Ingress Controller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Roteamento interno dos requests para os pods corretos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principal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.NET 8 / ASP.NET Core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Exposição dos 16 endpoints REST (pods no AKS com auto scaling)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(Flexible Server)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principal dos dados de clientes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Entity Framework Core 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objeto-relacional e migrations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Orquestração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Kubernetes Service (AKS)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containers Docker com auto scaling horizontal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imagens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Container Registry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das imagens Docker do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Package management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Gerenciamento dos charts Kubernetes para deploy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assíncrona com Propz CRM e Bot Services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Bot Services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Bot Services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Atendimento automatizado integrado ao canal de mensageria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ITEC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Background Service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Processamento do outbox e envio ao ITEC legado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LGPD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Background Service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Expurgo periódico de dados conforme LGPD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Pipelines (CD/CI)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Build, testes e deploy automatizados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Monitor + Datadog APM + Logs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 em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Métricas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Prometheus (expostas via /metrics)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 por Datadog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de credenciais, connection strings e API Keys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Modelo de dados</w:t>
      </w:r>
    </w:p>
    <w:p>
      <w:pPr>
        <w:pStyle w:val="Heading2"/>
        <w:keepNext/>
        <w:keepLines/>
      </w:pPr>
      <w:r>
        <w:t>3.1 Tabela principal: `clientes`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PK, 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sem formatação (apenas dígitos)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nome_completo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 completo do cliente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data_nascimento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de nascimento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VARCHAR(254)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UNIQUE (por CPF ativo)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principal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telefone_principal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Telefone com DDD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telefone_secundario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Telefone alternativo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CHAR(1)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M/F/O (Outro)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TRUE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de atividade do cadastro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motivo_inativacao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Preenchido na inativação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data_inativacao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Data/hora da inativação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data_criacao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NOW()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registro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data_atualizacao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Última atualização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origem_cadastro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de origem: PDV, BALCAO, OMNI, CALLCENTER, MIGRATION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concorrência otimista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Tabela: `clientes_enderecos`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Identificador interno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cpf_cliente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FK → clientes.cpf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do cliente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RESIDENCIAL / COMERCIAL / ENTREGA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CEP sem formatação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logradouro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numero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CHAR(2)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principal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FALSE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Endereço principal do cliente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 Tabela: `outbox_eventos`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Identificador do evento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cpf_cliente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do cliente relacionado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tipo_evento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ClienteCriado / ClienteAtualizado / ClienteInativado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payload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completos do cliente no momento do evento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criado_em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NOW()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evento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processado_em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Quando foi consumido pelo worker 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tentativas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Número de tentativas de envio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erro_ultimo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Último erro de envio (se houver)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3.4 Tabela: `auditoria_clientes`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Identificador do registro de auditoria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cpf_cliente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do cliente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operacao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CRIACAO / ATUALIZACAO / INATIVACAO / REATIVACAO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canal_origem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PDV, BALCAO, OMNI, CALLCENTER, MIGRATION, SISTEMA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dados_anteriores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Snapshot dos dados antes da operação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dados_novos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Snapshot dos dados após a operação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operador_id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Identificador do operador (quando disponível)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realizado_em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 NULL, DEFAULT NOW()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Timestamp da operação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Padrões e decisões de design</w:t>
      </w:r>
    </w:p>
    <w:p>
      <w:pPr>
        <w:pStyle w:val="Heading2"/>
        <w:keepNext/>
        <w:keepLines/>
      </w:pPr>
      <w:r>
        <w:t>4.1 CPF como chave primária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usar CPF (string de 11 dígitos) como PK em vez de UUID ou BIGINT sequencial.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Justificativa:</w:t>
      </w:r>
      <w:r>
        <w:rPr>
          <w:rFonts w:ascii="Calibri" w:hAnsi="Calibri"/>
          <w:b w:val="0"/>
          <w:i w:val="0"/>
          <w:sz w:val="22"/>
        </w:rPr>
        <w:t xml:space="preserve"> elimina a necessidade de mapeamento ID↔CPF que existia no ITEC e causava inconsistências. O CPF é o identificador universal do cliente em todos os sistemas satélites da D1000; expor o CPF como PK simplifica todas as integrações.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Trade-off aceito:</w:t>
      </w:r>
      <w:r>
        <w:rPr>
          <w:rFonts w:ascii="Calibri" w:hAnsi="Calibri"/>
          <w:b w:val="0"/>
          <w:i w:val="0"/>
          <w:sz w:val="22"/>
        </w:rPr>
        <w:t xml:space="preserve"> impossibilidade de alterar o CPF (um CPF é vitalício, exceto em casos de retificação judicial, tratados como exceção operacional fora do escopo do sistema).</w:t>
      </w:r>
    </w:p>
    <w:p>
      <w:pPr>
        <w:pStyle w:val="Heading2"/>
        <w:keepNext/>
        <w:keepLines/>
      </w:pPr>
      <w:r>
        <w:t>4.2 Outbox pattern para integração com ITEC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persistir eventos no banco de dados na mesma transação do cadastro/atualização, processar assincronamente via worker.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Justificativa:</w:t>
      </w:r>
      <w:r>
        <w:rPr>
          <w:rFonts w:ascii="Calibri" w:hAnsi="Calibri"/>
          <w:b w:val="0"/>
          <w:i w:val="0"/>
          <w:sz w:val="22"/>
        </w:rPr>
        <w:t xml:space="preserve"> o ITEC legado tem instabilidades de disponibilidade; uma chamada síncrona ao ITEC no caminho crítico da API tornaria o cadastro de clientes dependente da disponibilidade do legado. O outbox garante que o evento nunca se perde mesmo que o ITEC esteja indisponível.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Comportamento em falha:</w:t>
      </w:r>
      <w:r>
        <w:rPr>
          <w:rFonts w:ascii="Calibri" w:hAnsi="Calibri"/>
          <w:b w:val="0"/>
          <w:i w:val="0"/>
          <w:sz w:val="22"/>
        </w:rPr>
        <w:t xml:space="preserve"> o worker tenta reenviar com backoff exponencial; após 5 tentativas sem sucesso, registra o erro e prossegue (dead-letter manual).</w:t>
      </w:r>
    </w:p>
    <w:p>
      <w:pPr>
        <w:pStyle w:val="Heading2"/>
        <w:keepNext/>
        <w:keepLines/>
      </w:pPr>
      <w:r>
        <w:t>4.3 Concorrência otimista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campo </w:t>
      </w:r>
      <w:r>
        <w:rPr>
          <w:rFonts w:ascii="Courier New" w:hAnsi="Courier New"/>
          <w:b w:val="0"/>
          <w:i w:val="0"/>
          <w:color w:val="333333"/>
          <w:sz w:val="20"/>
        </w:rPr>
        <w:t>versao</w:t>
      </w:r>
      <w:r>
        <w:rPr>
          <w:rFonts w:ascii="Calibri" w:hAnsi="Calibri"/>
          <w:b w:val="0"/>
          <w:i w:val="0"/>
          <w:sz w:val="22"/>
        </w:rPr>
        <w:t xml:space="preserve"> (integer) com verificação de concorrência otimista no EF Core.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Justificativa:</w:t>
      </w:r>
      <w:r>
        <w:rPr>
          <w:rFonts w:ascii="Calibri" w:hAnsi="Calibri"/>
          <w:b w:val="0"/>
          <w:i w:val="0"/>
          <w:sz w:val="22"/>
        </w:rPr>
        <w:t xml:space="preserve"> o modelo de negócio não exige locking pessimista; conflitos de edição simultânea são raros e tratáveis com retry no cliente.</w:t>
      </w:r>
    </w:p>
    <w:p>
      <w:pPr>
        <w:pStyle w:val="Heading2"/>
        <w:keepNext/>
        <w:keepLines/>
      </w:pPr>
      <w:r>
        <w:t>4.4 Separação de queries de leitura (CQRS leve)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</w:t>
      </w:r>
      <w:r>
        <w:rPr>
          <w:rFonts w:ascii="Calibri" w:hAnsi="Calibri"/>
          <w:b w:val="0"/>
          <w:i w:val="0"/>
          <w:sz w:val="22"/>
        </w:rPr>
        <w:t xml:space="preserve"> handlers de query (leitura) acessam o banco diretamente via Dapper para consultas de alta frequência (GET /clientes/{cpf}); commands (escrita) usam EF Core.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Justificativa:</w:t>
      </w:r>
      <w:r>
        <w:rPr>
          <w:rFonts w:ascii="Calibri" w:hAnsi="Calibri"/>
          <w:b w:val="0"/>
          <w:i w:val="0"/>
          <w:sz w:val="22"/>
        </w:rPr>
        <w:t xml:space="preserve"> simplifica e acelera as queries de leitura sem a sobrecarga do EF Core change tracking; mantém o benefício do ORM para operações de escrita com validações de domínio.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Fluxos de integração</w:t>
      </w:r>
    </w:p>
    <w:p>
      <w:pPr>
        <w:pStyle w:val="Heading2"/>
        <w:keepNext/>
        <w:keepLines/>
      </w:pPr>
      <w:r>
        <w:t>5.1 Fluxo de cadastro de novo cliente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Cliente (PDV/Balcão/OMNI)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API Gateway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POST /clientes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Valida CPF (formato + Receita Federal)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Verifica duplicata na base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Persiste cliente (tabela clientes + clientes_enderecos)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Persiste evento ClienteCriado (tabela outbox_eventos)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Registra auditoria (tabela auditoria_clientes)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[tudo na mesma transação PostgreSQL]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Resposta HTTP 201 Created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 (assíncrono, worker)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Worker ITEC lê outbox_eventos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Chama API ITEC (trigger de sincronização)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Marca evento como processado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 (assíncrono, Azure Service Bus)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Worker Propz publica mensagem no Service Bus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Propz CRM consome mensagem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5.2 Fluxo de integração VTEX (OMNI)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VTEX (plataforma e-commerce)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POST /clientes/vtex  (ou GET /clientes/vtex/{cpf})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Autenticação: API Key VTEX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Mapeamento do schema VTEX → schema interno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Executa use case de criação/consulta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Resposta no schema VTEX CustomerProfile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5.3 Worker de expurgo LGPD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Schedule: executado diariamente às 02h00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Consulta clientes: ativo = FALSE AND data_inativacao &lt; NOW() - 5 anos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cliente elegível: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Anonimiza: nome → "DADOS ANONIMIZADOS", email → NULL, telefone → NULL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Preserva: CPF, data_nascimento (anonimizado), ativo, data_inativacao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Registra auditoria: operacao = EXPURGO_LGPD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Remove endereços (clientes_enderecos)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▼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Log de execução: total processado, erros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Segurança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Mecanismo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Canais PDV, Balcão, VTEX (cabeçalho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X-Api-Key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(Client Credentials)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sistema-a-sistema (Call Center, Propz)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TLS 1.2+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comunicações em trânsito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de segredos (connection strings, API Keys, OAuth credentials)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RBAC (AKS)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aos recursos Kubernetes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Row-Level Security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aplicado nesta versão (escopo futuro)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Observabilidade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Logs estruturados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Serilog → Datadog Logs (JSON)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Rastreamento distribuído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APM (OpenTelemetry)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Métricas de negócio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Prometheus custom metrics: cadastros/min, consultas/min, latência p95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Monitors: latência &gt; 500ms, error rate &gt; 1%, outbox_eventos com tentativas &gt;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check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/health com status de banco, Service Bus e dependências externas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Decisões arquiteturais documentadas (registro de análise)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escolha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como banco principal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 (utilizado no ITEC), MongoDB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PostgreSQL: custo Azure menor que SQL Server, suporte excelente a JSONB para o outbox, sem licença adicional; MongoDB descartado pela falta de transações ACID necessárias para o outbox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como PK (string)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 gerado internamente com CPF como UNIQUE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como PK elimina nível de indireção; simplicidade das integrações outweighs risco de colisão (CPF é imutável por natureza)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 pattern para 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síncrona ao ITEC no request path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 tem SLA não garantido; chamada síncrona tornaria o cadastro dependente de disponibilidade do legado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CQRS leve (Dapper para leitura)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 Core para tudo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Queries de leitura com Dapper têm latência ~3x menor nos benchmarks internos para o endpoint de maior volume (GET /clientes/{cpf})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 para Propz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síncrono para Propz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definiu interface assíncrona como requisito; Service Bus garante entrega mesmo em indisponibilidade da Propz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Design de produto (UX/UI)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aplicável a este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sistema Cadastro de Clientes — Rede D1000 é uma API RESTful sem interface de usuário própria. Não há telas, wireframes ou fluxos de UX/UI a serem projetados no escopo deste contrato. Os canais de front-end (Balcão, App D1000, VTEX) são sistemas externos que consomem a API; seu design de produto é de responsabilidade das respectivas equipes. A decisão de dispensar o design UX/UI foi registrada em ADAP-PROFARMA01-001 (A-06).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RF-01, RF-02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POST /clientes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ClienteController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use case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CriarClienteUseCase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evento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ClienteCriado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outbox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RF-03, RF-09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/clientes/{cpf}, HEAD /clientes/{cpf} — handler de query via Dapper (§4.4 CQRS leve)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PATCH /clientes/{cpf}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AtualizarClienteUseCase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evento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ClienteAtualizado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DELETE /clientes/{cpf}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InativarClienteUseCase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 = false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evento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ClienteInativado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GET /clientes — query paginada via Dapper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ILIKE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auditoria_clientes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preenchida em todas as operações de escrita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POST /clientes/lote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MigrationWorker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background service, processo batch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PUT /clientes/{cpf}/reativar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ReativarClienteUseCase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Outbox pattern (§4.2),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ItecWorker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background service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POST /clientes/vtex, GET /clientes/vtex/{cpf} — adaptadores de schema VTEX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Infrastructure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/clientes/{cpf}/call-center — handler com SLA 500ms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PropzWorker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Azure Service Bus (§2.2)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GET /clientes/{cpf}/programa-beneficios — HTTP client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BlueSoftClient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GET /clientes/{cpf}/perfil-completo — HTTP client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CloseUpClient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LgpdExpurgoWorker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background service (§5.3)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GET /health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HealthCheckController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verificação de DB, Service Bus e dependências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/metrics — Prometheus endpoint (§7)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Clean Architecture em 4 camadas (§2.1)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Database for PostgreSQL — tabelas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clientes_enderecos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auditoria_clientes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(§3)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 com auto scaling, Azure Container Registry, Helm (§2.2)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para segredos (§6)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 (PDV/Balcão/VTEX) + OAuth 2.0 (Call Center/Propz) — §6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RNF-06, RNF-07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CQRS leve com Dapper (§4.4); Datadog APM (§7); pool de conexões PostgreSQL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 auto scaling + Azure Load Balancer (§2.2) + Datadog Monitors (§7)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Flexible Server com backup automático 7 dias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lógica (RF-05), worker de expurgo LGPD (RF-17), log de auditoria (RF-07)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cenários de teste unitário (VV-PROFARMA01-001 §3.2); cobertura 84% Domain + Application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Pipelines: build → testes → deploy (§2.2 CI/CD)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APM, Logs, Monitors (§7)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Armando Junior (D1000) registrada em §11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11. Avaliação e aprovação do design (PCP2)</w:t>
      </w:r>
    </w:p>
    <w:p>
      <w:pPr>
        <w:pStyle w:val="Heading2"/>
        <w:keepNext/>
        <w:keepLines/>
      </w:pPr>
      <w:r>
        <w:t>11.1 Revisão do design arquitetural — 17/07/2025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design arquitetural — diagrama completo da solução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Desenho de arquitetura — Cadastro de Cliente (diagrama Azure Architecture)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(Tech Lead / Arquiteto 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de comunicação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WhatsApp + e-mail (confirmados em 17/07/2025)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Armando Junior confirmou o recebimento e o aceite do design por mensagem direta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diagrama de arquitetura foi compartilhado pelo Gerente de Projeto (Abraão Oliveira) com Armando Junior em 17/07/2025 via WhatsApp e e-mail. O diagrama mostra a arquitetura completa da solução: Azure API Gateway, Load Balancer, AKS (pods com auto scaling), PostgreSQL, Azure Service Bus, Azure Monitor, Key Vault, Container Registry, Helm, Datadog e todos os sistemas de integração (ITEC, VTEX, Propz, Plusoft/Conveniados, Bot Services, Delage). Armando Junior confirmou o recebimento e aprovação do design na mesma data.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aprovação do design arquitetural pelo Tech Lead D1000 (Armando Junior) é também um requisito formal do projeto conforme RNF-14 e DA-01 a DA-05 (registrados no GDE-PROFARMA01-001).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Evidência física:</w:t>
      </w:r>
      <w:r>
        <w:rPr>
          <w:rFonts w:ascii="Calibri" w:hAnsi="Calibri"/>
          <w:b w:val="0"/>
          <w:i w:val="0"/>
          <w:sz w:val="22"/>
        </w:rPr>
        <w:t xml:space="preserve"> print da conversa do WhatsApp de 17/07/2025 com Armando Junior, com data, remetente e mensagem de confirmação.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12. Evidências de implementação (Azure DevOps)</w:t>
      </w:r>
    </w:p>
    <w:p>
      <w:pPr>
        <w:pStyle w:val="Heading2"/>
        <w:keepNext/>
        <w:keepLines/>
      </w:pPr>
      <w:r>
        <w:t>12.1 Estrutura da solução — repositório loja-backend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Solution D1000 Backend — 28 projetos: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694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solution-d1000backend-28proje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9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Solution D1000 Backend com 28 projetos: D1000.Clientes.API, D1000.Clientes.Application, D1000.Clientes.Domain, D1000.Clientes.Infrastructure, workers, testes e demais módulos — Azure DevOps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Estrutura interna — D1000.Clientes.API: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81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estrutura-clientes-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8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Estrutura D1000.Clientes.API: Controllers (ClienteController, HealthController, MetricsController), Middlewares, Extensions, Program.cs — Azure DevOps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Estrutura interna — D1000.Gateway.API: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83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estrutura-gateway-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Estrutura D1000.Gateway.API: configuração do API Gateway, roteamento e middlewares de autenticação — Azure DevOps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Domain Models organizados por contexto: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8931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domain-models-por-contex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Domain Models por contexto de negócio: Cliente, Endereço, Auditoria, Outbox, LGPD, Convênios — estrutura DDD no projeto D1000.Clientes.Domain — Azure DevOps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Camadas Shared, Application, Domain e Infrastructure: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18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shared-application-domain-infra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1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Projetos D1000.Shared, D1000.Clientes.Application, D1000.Clientes.Domain e D1000.Clientes.Infrastructure — separação de responsabilidades Clean Architecture — Azure DevOps</w:t>
      </w:r>
    </w:p>
    <w:p>
      <w:pPr>
        <w:pStyle w:val="Heading2"/>
        <w:keepNext/>
        <w:keepLines/>
      </w:pPr>
      <w:r>
        <w:t>12.2 Commits de implementação — integração Call Center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Commit de integração Call Center (parte 1):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75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commit-callcenter-integracao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Commit Azure DevOps — implementação da integração Call Center: endpoint GET /clientes/{cpf}/call-center, SLA 500 ms, autenticação API Key (parte 1)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Commit de integração Call Center (parte 2):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3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commit-callcenter-integracao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Commit Azure DevOps — implementação da integração Call Center: handlers, DTOs e mapeamentos do canal Call Center (parte 2)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Commit de infraestrutura Call Center: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92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commit-callcenter-infraestru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Commit Azure DevOps — infraestrutura Call Center: ConfigMap Kubernetes, variáveis de ambiente e configuração de credencial no Azure Key Vault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arquitetura macro e decisões DA-01 a DA-03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 modelo de dados completo, fluxo de integração VTEX, decisões DA-04 e DA-05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Atualização: worker LGPD, segurança OAuth 2.0 para Call Center, integrações BlueSoft e CloseUp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de encerramento — consolidação final após piloto loja 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§1.1 (canais completos do diagrama), atualização de §2.2 (API Gateway, Container Registry, Helm, Bot Services, Azure Monitor), adição de §9 (avaliação do design por Armando Junior — 17/07/2025)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§9 "Design de produto (UX/UI) — não aplicável" e §10 "Rastreabilidade requisito → design" (conformidade com TPL-PCP-001); seção de avaliação renumerada para §11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§12 com evidências visuais da estrutura da solução (28 projetos, Clean Architecture) e commits de implementação da integração Call Center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17/07/2025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17/07/2025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PCP-PROFARMA01-001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