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ADAP-AASPAP01-001   ·   Versão 1.0   ·   16/12/2025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back-end/refatoração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a refatoração de serviços de retaguarda (API e CapturaServer);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necessidades operacionais da captura; o cliente valida resultados e aceita as entregas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 estimadas, ~6,5 meses, ciclo compartilhado com o projeto irmão AASP_CNJ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Gestão por horas/cards no GitLab (issues/quadro); sem story points (gestão por fases)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Merge Request (MR) no GitLab, revisado por ≥1 membro além do autor (GitFlow)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qualidade do código e rastreabilidade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testes; ciclo coordenado entre os dois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cenário (CT-01 a CT-12) e fase (ver VV-AASPAP01-001)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e REL-VV-AASPAP01-001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(decisões D01–D07)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(REQ-AASPAP01-001)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(baseline REG-AASPAP01-001 v1.0)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(cenários de aceite CT-01 a CT-12, 100% aprovados —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total — encerramento previsto 30/06/2026 (Fase 5 — implantação em andamento)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ponto em aberto refere-se ao marco de encerramento total e será registrado ao final do projeto (TAE-AASPAP01-001 e a ata de aceite), conforme o estágio atual. O aceite por fase já ocorreu (Fases 1–2: Mar/2026; Fases 3–4: Jun/2026).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