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REQ-AASPAP01-001   ·   Versão 1.0   ·   18/12/2025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18/12/2025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Cézar Hiraki Velázquez (Tech Lead) / Marcos Turnes (PO)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judiciais. A Timeware opera a solução legada de captura de andamentos (API AndamentosProcessuais + CapturaServer), em .NET, com cerca de 20 anos de operação. Com a adoção do novo modelo de captura via DataJud/CNJ e WorkerAndamentos (projeto irmão AASP_CNJ), a solução existente precisa ser refatorada de forma cirúrgica para suportar fila unificada, webhook multi-fonte, histórico de movimentações por instância, desligamento dos processos nas APIs parceiras e controle de erros e segredo de justiça por instância — tudo sem interromper a operação em produção. O objetivo deste documento é registrar os requisitos funcionais (RF01–RF12) e não funcionais (RNF01–RNF05) que delimitam essa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tribunais, sem regressão durante a transição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/ PO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Refatoração controlada da solução legada, suporte ao novo modelo CNJ e aceite por fase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estados, parametrização para novas fontes e preservação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Refatoração delimitada de dois componentes em produção: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passa a publicar na fila unificada WorkerAndamentos no RabbitMQ,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 (webhook de indexação parametrizado para múltiplas fontes, controle de movimentações por instância, verificação/desligamento nas APIs parceiras e tratamento de erros e segredo por instância). Projeto de back-end/refatoração,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 O restante da solução AndamentosProcessuais permanece inalterado.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  <w:gridCol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Critérios de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mensagens na fila WorkerAndamentos (RabbitMQ),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Mensagens publicadas na fila WorkerAndamentos com SegmentoTribunal, independentemente do tribunal de origem. Verif.: CT-02, CT-03.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multi-fonte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aceita dados de qualquer fonte de captura, sem campos fixos por tribunal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indexa dados de qualquer fonte (EPROC e CNJ) sem campos fixos por tribunal. Verif.: CT-01, CT-04.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, com inativação do registro anterior e criação de novo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Nova movimentação inativa o registro anterior e cria um novo, sem sobrescrita; histórico preservado. Verif.: CT-05.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incremental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registro ativo mesmo sem novas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DataUltimaAtualizacao atualizada no registro ativo mesmo sem novas movimentações. Verif.: CT-06.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verificar as APIs parceiras e acionar a exclusão do NUP se estiver cadastrado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a parceira é verificada e o NUP é desligado quando cadastrado. Verif.: CT-07.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do desligamento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o resultado do desligamento nas tabelas de cadastro de cada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do desligamento registrado nas tabelas de cadastro da parceira. Verif.: CT-07.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registra o detalhe do erro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Observacao registra o detalhe do erro por instância. Verif.: CT-09.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status 3 e apenas a instância afetada é marcada individualmente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parcial: ProcessoCaptura recebe status 3 e apenas a instância afetada é marcada. Verif.: CT-09.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=8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</w:t>
            </w:r>
            <w:r>
              <w:rPr>
                <w:rFonts w:ascii="Calibri" w:hAnsi="Calibri"/>
                <w:b w:val="0"/>
                <w:i w:val="0"/>
                <w:sz w:val="20"/>
              </w:rPr>
              <w:t>=10 em todas as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NUP inválido pela parceira: Status=8 e Resposta=10 em todas as instâncias. Verif.: CT-10.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CodigoFonteAPI atualizado em ProcessoCaptura após cada captura. Verif.: CT-04, CT-08.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(via CNJ ou EPROC/ESAJ)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Segredo atualizado por instância (uma em segredo e outra não, tratadas separadamente). Verif.: CT-11.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executar priorizações de retorno por tipo de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RunUpdater desmembrado prioriza os retornos por tipo de resultado; fluxo validado de ponta a ponta. Verif.: CT-08.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não interrompem o fluxo de captura existente durante a transição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sem regressão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 estado de processamento registrado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parametrizável para novas fontes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alteração na camada de serialização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Retry no envio do 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Não-perda de dados em falhas transitórias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preservado integralmente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sobrescrita de registros anteriores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Alterações cirúrgicas: o restante da solução AndamentosProcessuais permanece inalterado, sem reescrita do sistema legado.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Sem migração de dados no Elasticsearch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em ambiente compartilhado com o projeto AASP_CNJ; sem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(.NET) e as tabelas de controle em SQL Server permanecem disponíveis durante a refatoração.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é consumida via WorkerAndamentos (projeto irmão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 fila RabbitMQ (RF01)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em ambiente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(CT-01 a CT-03)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e movimentações (RF02–RF06, RF10)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fluxo da 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(CT-04 a CT-07)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erros e segredo (RF07–RF09, RF11, RF12)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E2E e de regressão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(CT-08 a CT-12)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1–2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3–4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no alinhamento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18/12/2025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AASP_AndamentosProcessuais (REG-AASPAP01-001) e da Planilha de Gestão (aba Backlog).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