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COLETA DE EVIDÊNCIAS TÉCNICAS — PROJETO AASP_CNJ (WORKERANDAMENTOS)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COLETA-EVIDENCIAS   ·   12/06/2026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(Desenvolvedor Sênior / Principal)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(GP / Responsável MPS-SW)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AASPCNJ01 —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Prazo sugerido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dias úteis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Contexto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documentos de texto do projeto (PCP, ITP, VV, GCO, MED etc.) já estão prontos e versionados em </w:t>
      </w:r>
      <w:r>
        <w:rPr>
          <w:rFonts w:ascii="Courier New" w:hAnsi="Courier New"/>
          <w:b w:val="0"/>
          <w:i w:val="0"/>
          <w:color w:val="333333"/>
          <w:sz w:val="20"/>
        </w:rPr>
        <w:t>oficial/04_registros/AASP_CNJ/</w:t>
      </w:r>
      <w:r>
        <w:rPr>
          <w:rFonts w:ascii="Calibri" w:hAnsi="Calibri"/>
          <w:b w:val="0"/>
          <w:i w:val="0"/>
          <w:sz w:val="22"/>
        </w:rPr>
        <w:t xml:space="preserve">. Para a avaliação MPS-SW Nível C, cada afirmação técnica precisa de </w:t>
      </w:r>
      <w:r>
        <w:rPr>
          <w:rFonts w:ascii="Calibri" w:hAnsi="Calibri"/>
          <w:b/>
          <w:i w:val="0"/>
          <w:sz w:val="22"/>
        </w:rPr>
        <w:t>evidência da ferramenta real</w:t>
      </w:r>
      <w:r>
        <w:rPr>
          <w:rFonts w:ascii="Calibri" w:hAnsi="Calibri"/>
          <w:b w:val="0"/>
          <w:i w:val="0"/>
          <w:sz w:val="22"/>
        </w:rPr>
        <w:t>: Azure DevOps, ClickUp, RabbitMQ, banco de dados (tabelas de controle), Elasticsearch/Kibana e a coleção Postman da API CNJ.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Abaixo, </w:t>
      </w:r>
      <w:r>
        <w:rPr>
          <w:rFonts w:ascii="Calibri" w:hAnsi="Calibri"/>
          <w:b/>
          <w:i w:val="0"/>
          <w:sz w:val="22"/>
        </w:rPr>
        <w:t>por documento</w:t>
      </w:r>
      <w:r>
        <w:rPr>
          <w:rFonts w:ascii="Calibri" w:hAnsi="Calibri"/>
          <w:b w:val="0"/>
          <w:i w:val="0"/>
          <w:sz w:val="22"/>
        </w:rPr>
        <w:t xml:space="preserve">, está: o que o registro afirma, </w:t>
      </w:r>
      <w:r>
        <w:rPr>
          <w:rFonts w:ascii="Calibri" w:hAnsi="Calibri"/>
          <w:b/>
          <w:i w:val="0"/>
          <w:sz w:val="22"/>
        </w:rPr>
        <w:t>exatamente o que capturar/exportar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onde</w:t>
      </w:r>
      <w:r>
        <w:rPr>
          <w:rFonts w:ascii="Calibri" w:hAnsi="Calibri"/>
          <w:b w:val="0"/>
          <w:i w:val="0"/>
          <w:sz w:val="22"/>
        </w:rPr>
        <w:t>. Tire prints com data e identificação visíveis. Onde o dado não existir mais, anote — não invente.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Como funciona o vínculo:</w:t>
      </w:r>
      <w:r>
        <w:rPr>
          <w:rFonts w:ascii="Calibri" w:hAnsi="Calibri"/>
          <w:b w:val="0"/>
          <w:i w:val="0"/>
          <w:color w:val="1A5276"/>
          <w:sz w:val="22"/>
        </w:rPr>
        <w:t xml:space="preserve"> cada item aponta o documento (ex.: </w:t>
      </w:r>
      <w:r>
        <w:rPr>
          <w:rFonts w:ascii="Courier New" w:hAnsi="Courier New"/>
          <w:b w:val="0"/>
          <w:i w:val="0"/>
          <w:color w:val="1A5276"/>
          <w:sz w:val="20"/>
        </w:rPr>
        <w:t>PCP §2.2</w:t>
      </w:r>
      <w:r>
        <w:rPr>
          <w:rFonts w:ascii="Calibri" w:hAnsi="Calibri"/>
          <w:b w:val="0"/>
          <w:i w:val="0"/>
          <w:color w:val="1A5276"/>
          <w:sz w:val="22"/>
        </w:rPr>
        <w:t>), o requisito (</w:t>
      </w:r>
      <w:r>
        <w:rPr>
          <w:rFonts w:ascii="Courier New" w:hAnsi="Courier New"/>
          <w:b w:val="0"/>
          <w:i w:val="0"/>
          <w:color w:val="1A5276"/>
          <w:sz w:val="20"/>
        </w:rPr>
        <w:t>RF-xx</w:t>
      </w:r>
      <w:r>
        <w:rPr>
          <w:rFonts w:ascii="Calibri" w:hAnsi="Calibri"/>
          <w:b w:val="0"/>
          <w:i w:val="0"/>
          <w:color w:val="1A5276"/>
          <w:sz w:val="22"/>
        </w:rPr>
        <w:t>) e/ou a história do backlog (</w:t>
      </w:r>
      <w:r>
        <w:rPr>
          <w:rFonts w:ascii="Courier New" w:hAnsi="Courier New"/>
          <w:b w:val="0"/>
          <w:i w:val="0"/>
          <w:color w:val="1A5276"/>
          <w:sz w:val="20"/>
        </w:rPr>
        <w:t>US-xx</w:t>
      </w:r>
      <w:r>
        <w:rPr>
          <w:rFonts w:ascii="Calibri" w:hAnsi="Calibri"/>
          <w:b w:val="0"/>
          <w:i w:val="0"/>
          <w:color w:val="1A5276"/>
          <w:sz w:val="22"/>
        </w:rPr>
        <w:t xml:space="preserve"> da planilha GEST-AASPCNJ01). Assim a evidência cai direto no lugar certo.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1. PCP — Documento de Design (arquitetura)</w:t>
      </w:r>
    </w:p>
    <w:p>
      <w:pPr>
        <w:pStyle w:val="Heading2"/>
        <w:keepNext/>
        <w:keepLines/>
      </w:pPr>
      <w:r>
        <w:t>1.1 Arquitetura da solução (PCP §2.1)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documento afirma:</w:t>
      </w:r>
      <w:r>
        <w:rPr>
          <w:rFonts w:ascii="Calibri" w:hAnsi="Calibri"/>
          <w:b w:val="0"/>
          <w:i w:val="0"/>
          <w:sz w:val="22"/>
        </w:rPr>
        <w:t xml:space="preserve"> CapturaServer (serviço Windows) + WorkerAndamentos (workers concorrentes) + RabbitMQ + webhook → API AndamentosProcessuais → Elasticsearch.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diagrama de arquitetura do fluxo (se houver no repositório/Confluence, exportar; se não, um desenho simples já serve). Print da estrutura de pastas/projetos das 3 soluções no Azure DevOps.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Azure DevOps → Repos → WorkerAndamentos / CapturaServer / AndamentosProcessuais → print da árvore de pastas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pcp-arquitetura-diagrama.png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pcp-estrutura-repos.png</w:t>
      </w:r>
    </w:p>
    <w:p>
      <w:pPr>
        <w:pStyle w:val="Heading2"/>
        <w:keepNext/>
        <w:keepLines/>
      </w:pPr>
      <w:r>
        <w:t>1.2 Tabelas de controle (PCP §2.2)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documento afirma: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ProcessoCaptura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ProcessoCapturaLogin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ProcessoCapturaMovimentacaoStatus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PonteAPI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print do schema (colunas) de cada tabela — ou o script DDL.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SSMS/Azure Data Studio → cada tabela → script </w:t>
      </w:r>
      <w:r>
        <w:rPr>
          <w:rFonts w:ascii="Courier New" w:hAnsi="Courier New"/>
          <w:b w:val="0"/>
          <w:i w:val="0"/>
          <w:color w:val="333333"/>
          <w:sz w:val="20"/>
        </w:rPr>
        <w:t>CREATE</w:t>
      </w:r>
      <w:r>
        <w:rPr>
          <w:rFonts w:ascii="Calibri" w:hAnsi="Calibri"/>
          <w:b w:val="0"/>
          <w:i w:val="0"/>
          <w:sz w:val="22"/>
        </w:rPr>
        <w:t xml:space="preserve"> ou print das colunas; ou a pasta </w:t>
      </w:r>
      <w:r>
        <w:rPr>
          <w:rFonts w:ascii="Courier New" w:hAnsi="Courier New"/>
          <w:b w:val="0"/>
          <w:i w:val="0"/>
          <w:color w:val="333333"/>
          <w:sz w:val="20"/>
        </w:rPr>
        <w:t>/db</w:t>
      </w:r>
      <w:r>
        <w:rPr>
          <w:rFonts w:ascii="Calibri" w:hAnsi="Calibri"/>
          <w:b w:val="0"/>
          <w:i w:val="0"/>
          <w:sz w:val="22"/>
        </w:rPr>
        <w:t xml:space="preserve"> no Azure DevOps.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pcp-schema-tabelas-controle.png</w:t>
      </w:r>
      <w:r>
        <w:rPr>
          <w:rFonts w:ascii="Calibri" w:hAnsi="Calibri"/>
          <w:b w:val="0"/>
          <w:i w:val="0"/>
          <w:sz w:val="22"/>
        </w:rPr>
        <w:t xml:space="preserve"> (ou </w:t>
      </w:r>
      <w:r>
        <w:rPr>
          <w:rFonts w:ascii="Courier New" w:hAnsi="Courier New"/>
          <w:b w:val="0"/>
          <w:i w:val="0"/>
          <w:color w:val="333333"/>
          <w:sz w:val="20"/>
        </w:rPr>
        <w:t>.sql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Heading2"/>
        <w:keepNext/>
        <w:keepLines/>
      </w:pPr>
      <w:r>
        <w:t>1.3 Roteamento por CodigoFonteAPI e fallback (PCP §2.4/2.5 · RF-01, RF-02, RF-07 · US-04, US-09, US-11)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documento afirma:</w:t>
      </w:r>
      <w:r>
        <w:rPr>
          <w:rFonts w:ascii="Calibri" w:hAnsi="Calibri"/>
          <w:b w:val="0"/>
          <w:i w:val="0"/>
          <w:sz w:val="22"/>
        </w:rPr>
        <w:t xml:space="preserve"> roteamento por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 xml:space="preserve"> e fallback em 3 níveis (CNJ → EPROC/ESAJ → parceiras por prioridade).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print do trecho de código onde o worker decide a fonte pelo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 xml:space="preserve"> e onde aciona o fallback.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Azure DevOps → Repos → WorkerAndamentos → arquivo do roteamento/fallback → print.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pcp-roteamento-codigofonteapi.png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ITP — Estratégia de Integração</w:t>
      </w:r>
    </w:p>
    <w:p>
      <w:pPr>
        <w:pStyle w:val="Heading2"/>
        <w:keepNext/>
        <w:keepLines/>
      </w:pPr>
      <w:r>
        <w:t>2.1 Integração DataJud/CNJ (ITP §1 · RF-01, RF-05 · US-04, US-05)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coleção Postman da API CNJ (export </w:t>
      </w:r>
      <w:r>
        <w:rPr>
          <w:rFonts w:ascii="Courier New" w:hAnsi="Courier New"/>
          <w:b w:val="0"/>
          <w:i w:val="0"/>
          <w:color w:val="333333"/>
          <w:sz w:val="20"/>
        </w:rPr>
        <w:t>.json</w:t>
      </w:r>
      <w:r>
        <w:rPr>
          <w:rFonts w:ascii="Calibri" w:hAnsi="Calibri"/>
          <w:b w:val="0"/>
          <w:i w:val="0"/>
          <w:sz w:val="22"/>
        </w:rPr>
        <w:t xml:space="preserve">) e/ou print de uma chamada de consulta com retorno; print do mecanismo de token Bearer compartilhado (tabela </w:t>
      </w:r>
      <w:r>
        <w:rPr>
          <w:rFonts w:ascii="Courier New" w:hAnsi="Courier New"/>
          <w:b w:val="0"/>
          <w:i w:val="0"/>
          <w:color w:val="333333"/>
          <w:sz w:val="20"/>
        </w:rPr>
        <w:t>PonteAPI</w:t>
      </w:r>
      <w:r>
        <w:rPr>
          <w:rFonts w:ascii="Calibri" w:hAnsi="Calibri"/>
          <w:b w:val="0"/>
          <w:i w:val="0"/>
          <w:sz w:val="22"/>
        </w:rPr>
        <w:t xml:space="preserve"> com data de expiração — sem expor o token).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Postman → Export collection; Azure DevOps → pasta </w:t>
      </w:r>
      <w:r>
        <w:rPr>
          <w:rFonts w:ascii="Courier New" w:hAnsi="Courier New"/>
          <w:b w:val="0"/>
          <w:i w:val="0"/>
          <w:color w:val="333333"/>
          <w:sz w:val="20"/>
        </w:rPr>
        <w:t>/docs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itp-postman-cnj.json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itp-token-ponteapi.png</w:t>
      </w:r>
    </w:p>
    <w:p>
      <w:pPr>
        <w:pStyle w:val="Heading2"/>
        <w:keepNext/>
        <w:keepLines/>
      </w:pPr>
      <w:r>
        <w:t>2.2 Fila RabbitMQ unificada (ITP §3 · RF-03, RF-12 · US-08, US-09)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print do RabbitMQ Management mostrando a fila unificada (nome, mensagens, consumidores/workers ativos).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RabbitMQ Management UI → Queues → a fila de captura → print.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itp-rabbitmq-fila.png</w:t>
      </w:r>
    </w:p>
    <w:p>
      <w:pPr>
        <w:pStyle w:val="Heading2"/>
        <w:keepNext/>
        <w:keepLines/>
      </w:pPr>
      <w:r>
        <w:t>2.3 Webhook → Elasticsearch (ITP §6 · RF-11 · US-07)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print do endpoint de webhook na API AndamentosProcessuais e de um log/registro de indexação bem-sucedida.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código do endpoint (Azure DevOps) + log da aplicação (AWS/CloudWatch ou arquivo de log).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itp-webhook-indexacao.png</w:t>
      </w:r>
    </w:p>
    <w:p>
      <w:pPr>
        <w:pStyle w:val="Heading2"/>
        <w:keepNext/>
        <w:keepLines/>
      </w:pPr>
      <w:r>
        <w:t>2.4 Pipeline CI/CD (ITP §4)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print do pipeline de build/publicação no Azure DevOps (último run verde).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Azure DevOps → Pipelines → último run → 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itp-pipeline-cicd.png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GCO — Gerência de Configuração</w:t>
      </w:r>
    </w:p>
    <w:p>
      <w:pPr>
        <w:pStyle w:val="Heading2"/>
        <w:keepNext/>
        <w:keepLines/>
      </w:pPr>
      <w:r>
        <w:t>3.1 Repositórios e GitFlow (GCO §2/§3)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print da lista de repositórios e das branches (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feature/*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bugfix/*</w:t>
      </w:r>
      <w:r>
        <w:rPr>
          <w:rFonts w:ascii="Calibri" w:hAnsi="Calibri"/>
          <w:b w:val="0"/>
          <w:i w:val="0"/>
          <w:sz w:val="22"/>
        </w:rPr>
        <w:t>) mostrando a convenção GitFlow.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Azure DevOps → Repos → Branches → 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gco-branches-gitflow.png</w:t>
      </w:r>
    </w:p>
    <w:p>
      <w:pPr>
        <w:pStyle w:val="Heading2"/>
        <w:keepNext/>
        <w:keepLines/>
      </w:pPr>
      <w:r>
        <w:t>3.2 Baseline / tag de versão (GCO §4)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documento afirma:</w:t>
      </w:r>
      <w:r>
        <w:rPr>
          <w:rFonts w:ascii="Calibri" w:hAnsi="Calibri"/>
          <w:b w:val="0"/>
          <w:i w:val="0"/>
          <w:sz w:val="22"/>
        </w:rPr>
        <w:t xml:space="preserve"> baseline de publicação </w:t>
      </w:r>
      <w:r>
        <w:rPr>
          <w:rFonts w:ascii="Courier New" w:hAnsi="Courier New"/>
          <w:b w:val="0"/>
          <w:i w:val="0"/>
          <w:color w:val="333333"/>
          <w:sz w:val="20"/>
        </w:rPr>
        <w:t>v240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print da lista de tags mostrando </w:t>
      </w:r>
      <w:r>
        <w:rPr>
          <w:rFonts w:ascii="Courier New" w:hAnsi="Courier New"/>
          <w:b w:val="0"/>
          <w:i w:val="0"/>
          <w:color w:val="333333"/>
          <w:sz w:val="20"/>
        </w:rPr>
        <w:t>v240</w:t>
      </w:r>
      <w:r>
        <w:rPr>
          <w:rFonts w:ascii="Calibri" w:hAnsi="Calibri"/>
          <w:b w:val="0"/>
          <w:i w:val="0"/>
          <w:sz w:val="22"/>
        </w:rPr>
        <w:t xml:space="preserve"> (ou a tag real da publicação) com data e commit. </w:t>
      </w:r>
      <w:r>
        <w:rPr>
          <w:rFonts w:ascii="Calibri" w:hAnsi="Calibri"/>
          <w:b/>
          <w:i w:val="0"/>
          <w:sz w:val="22"/>
        </w:rPr>
        <w:t>Confirme com o Abraão a numeração exata da tag.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Azure DevOps → Repos → Tags → print</w:t>
      </w:r>
      <w:r>
        <w:rPr>
          <w:rFonts w:ascii="Calibri" w:hAnsi="Calibri"/>
          <w:b w:val="0"/>
          <w:i w:val="0"/>
          <w:sz w:val="22"/>
        </w:rPr>
        <w:t xml:space="preserve">. Alternativa: </w:t>
      </w:r>
      <w:r>
        <w:rPr>
          <w:rFonts w:ascii="Courier New" w:hAnsi="Courier New"/>
          <w:b w:val="0"/>
          <w:i w:val="0"/>
          <w:color w:val="333333"/>
          <w:sz w:val="20"/>
        </w:rPr>
        <w:t>git tag -l --sort=-version:refname | head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gco-tags-baseline.png</w:t>
      </w:r>
    </w:p>
    <w:p>
      <w:pPr>
        <w:pStyle w:val="Heading2"/>
        <w:keepNext/>
        <w:keepLines/>
      </w:pPr>
      <w:r>
        <w:t>3.3 Pull Requests revisados (GCO §6 + REV — code review)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documento afirma:</w:t>
      </w:r>
      <w:r>
        <w:rPr>
          <w:rFonts w:ascii="Calibri" w:hAnsi="Calibri"/>
          <w:b w:val="0"/>
          <w:i w:val="0"/>
          <w:sz w:val="22"/>
        </w:rPr>
        <w:t xml:space="preserve"> merge para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exige ≥ 1 revisor além do autor.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print de </w:t>
      </w:r>
      <w:r>
        <w:rPr>
          <w:rFonts w:ascii="Calibri" w:hAnsi="Calibri"/>
          <w:b/>
          <w:i w:val="0"/>
          <w:sz w:val="22"/>
        </w:rPr>
        <w:t>2–3 PRs concluídos (merged)</w:t>
      </w:r>
      <w:r>
        <w:rPr>
          <w:rFonts w:ascii="Calibri" w:hAnsi="Calibri"/>
          <w:b w:val="0"/>
          <w:i w:val="0"/>
          <w:sz w:val="22"/>
        </w:rPr>
        <w:t xml:space="preserve"> mostrando autor (Raony Chagas / Levi Santos), revisor, comentários e aprovação.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Azure DevOps → Repos → Pull Requests → filtrar Completed → 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gco-pr-aprovado-1.png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gco-pr-aprovado-2.png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Estes mesmos prints atendem o registro </w:t>
      </w:r>
      <w:r>
        <w:rPr>
          <w:rFonts w:ascii="Calibri" w:hAnsi="Calibri"/>
          <w:b/>
          <w:i w:val="0"/>
          <w:color w:val="1A5276"/>
          <w:sz w:val="22"/>
        </w:rPr>
        <w:t>REV-AASPCNJ01-001</w:t>
      </w:r>
      <w:r>
        <w:rPr>
          <w:rFonts w:ascii="Calibri" w:hAnsi="Calibri"/>
          <w:b w:val="0"/>
          <w:i w:val="0"/>
          <w:color w:val="1A5276"/>
          <w:sz w:val="22"/>
        </w:rPr>
        <w:t xml:space="preserve"> (revisão por pares / VV2).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VV / REL-VV — Verificação e Validação</w:t>
      </w:r>
    </w:p>
    <w:p>
      <w:pPr>
        <w:pStyle w:val="Heading2"/>
        <w:keepNext/>
        <w:keepLines/>
      </w:pPr>
      <w:r>
        <w:t>4.1 Defeitos registrados (REL-VV §3 — BUG-01 a BUG-09)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prints (ou export) dos cards dos 9 defeitos no ClickUp/Azure Boards, mostrando título, descrição, status (resolvido) e responsável. Pelo menos os críticos (BUG-05/06 — fila de 137 mil itens).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ClickUp → busca pelos cards de bug; ou Azure Boards.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vv-bugs-clickup.csv</w:t>
      </w:r>
      <w:r>
        <w:rPr>
          <w:rFonts w:ascii="Calibri" w:hAnsi="Calibri"/>
          <w:b w:val="0"/>
          <w:i w:val="0"/>
          <w:sz w:val="22"/>
        </w:rPr>
        <w:t xml:space="preserve"> (ou prints </w:t>
      </w:r>
      <w:r>
        <w:rPr>
          <w:rFonts w:ascii="Courier New" w:hAnsi="Courier New"/>
          <w:b w:val="0"/>
          <w:i w:val="0"/>
          <w:color w:val="333333"/>
          <w:sz w:val="20"/>
        </w:rPr>
        <w:t>vv-bug-05-fila.png</w:t>
      </w:r>
      <w:r>
        <w:rPr>
          <w:rFonts w:ascii="Calibri" w:hAnsi="Calibri"/>
          <w:b w:val="0"/>
          <w:i w:val="0"/>
          <w:sz w:val="22"/>
        </w:rPr>
        <w:t xml:space="preserve"> etc.)</w:t>
      </w:r>
    </w:p>
    <w:p>
      <w:pPr>
        <w:pStyle w:val="Heading2"/>
        <w:keepNext/>
        <w:keepLines/>
      </w:pPr>
      <w:r>
        <w:t>4.2 Fluxo de captura validado (VV §6 / REL-VV §4 — CA01..CA07 · US-16)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 (prints do banco/Elasticsearch para um processo de exemplo):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ProcessoCaptura</w:t>
      </w:r>
      <w:r>
        <w:rPr>
          <w:rFonts w:ascii="Calibri" w:hAnsi="Calibri"/>
          <w:b w:val="0"/>
          <w:i w:val="0"/>
          <w:sz w:val="22"/>
        </w:rPr>
        <w:t xml:space="preserve"> com </w:t>
      </w:r>
      <w:r>
        <w:rPr>
          <w:rFonts w:ascii="Courier New" w:hAnsi="Courier New"/>
          <w:b w:val="0"/>
          <w:i w:val="0"/>
          <w:color w:val="333333"/>
          <w:sz w:val="20"/>
        </w:rPr>
        <w:t>CodigoProcessoCapturaStatus = 3</w:t>
      </w:r>
      <w:r>
        <w:rPr>
          <w:rFonts w:ascii="Calibri" w:hAnsi="Calibri"/>
          <w:b w:val="0"/>
          <w:i w:val="0"/>
          <w:sz w:val="22"/>
        </w:rPr>
        <w:t xml:space="preserve"> (Capturado) — </w:t>
      </w:r>
      <w:r>
        <w:rPr>
          <w:rFonts w:ascii="Calibri" w:hAnsi="Calibri"/>
          <w:b/>
          <w:i w:val="0"/>
          <w:sz w:val="22"/>
        </w:rPr>
        <w:t>CA01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ProcessoCapturaLogin</w:t>
      </w:r>
      <w:r>
        <w:rPr>
          <w:rFonts w:ascii="Calibri" w:hAnsi="Calibri"/>
          <w:b w:val="0"/>
          <w:i w:val="0"/>
          <w:sz w:val="22"/>
        </w:rPr>
        <w:t xml:space="preserve"> com sucesso por instância (</w:t>
      </w:r>
      <w:r>
        <w:rPr>
          <w:rFonts w:ascii="Courier New" w:hAnsi="Courier New"/>
          <w:b w:val="0"/>
          <w:i w:val="0"/>
          <w:color w:val="333333"/>
          <w:sz w:val="20"/>
        </w:rPr>
        <w:t>CodigoProcessoCapturaResposta = 1</w:t>
      </w:r>
      <w:r>
        <w:rPr>
          <w:rFonts w:ascii="Calibri" w:hAnsi="Calibri"/>
          <w:b w:val="0"/>
          <w:i w:val="0"/>
          <w:sz w:val="22"/>
        </w:rPr>
        <w:t xml:space="preserve">) — </w:t>
      </w:r>
      <w:r>
        <w:rPr>
          <w:rFonts w:ascii="Calibri" w:hAnsi="Calibri"/>
          <w:b/>
          <w:i w:val="0"/>
          <w:sz w:val="22"/>
        </w:rPr>
        <w:t>CA02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ProcessoCapturaMovimentacaoStatus</w:t>
      </w:r>
      <w:r>
        <w:rPr>
          <w:rFonts w:ascii="Calibri" w:hAnsi="Calibri"/>
          <w:b w:val="0"/>
          <w:i w:val="0"/>
          <w:sz w:val="22"/>
        </w:rPr>
        <w:t xml:space="preserve"> com </w:t>
      </w:r>
      <w:r>
        <w:rPr>
          <w:rFonts w:ascii="Courier New" w:hAnsi="Courier New"/>
          <w:b w:val="0"/>
          <w:i w:val="0"/>
          <w:color w:val="333333"/>
          <w:sz w:val="20"/>
        </w:rPr>
        <w:t>Ativo = 1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DataUltimaAtualizacao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/>
          <w:i w:val="0"/>
          <w:sz w:val="22"/>
        </w:rPr>
        <w:t>CA03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documento indexado no Elasticsearch (capa, partes, advogados, andamentos) — </w:t>
      </w:r>
      <w:r>
        <w:rPr>
          <w:rFonts w:ascii="Calibri" w:hAnsi="Calibri"/>
          <w:b/>
          <w:i w:val="0"/>
          <w:sz w:val="22"/>
        </w:rPr>
        <w:t>CA04</w:t>
      </w:r>
      <w:r>
        <w:rPr>
          <w:rFonts w:ascii="Calibri" w:hAnsi="Calibri"/>
          <w:b w:val="0"/>
          <w:i w:val="0"/>
          <w:sz w:val="22"/>
        </w:rPr>
        <w:t xml:space="preserve"> (print do Kibana/consulta)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caso de </w:t>
      </w:r>
      <w:r>
        <w:rPr>
          <w:rFonts w:ascii="Calibri" w:hAnsi="Calibri"/>
          <w:b/>
          <w:i w:val="0"/>
          <w:sz w:val="22"/>
        </w:rPr>
        <w:t>erro parcial</w:t>
      </w:r>
      <w:r>
        <w:rPr>
          <w:rFonts w:ascii="Calibri" w:hAnsi="Calibri"/>
          <w:b w:val="0"/>
          <w:i w:val="0"/>
          <w:sz w:val="22"/>
        </w:rPr>
        <w:t xml:space="preserve">: uma instância com status 8 e o processo mantendo status 3 — </w:t>
      </w:r>
      <w:r>
        <w:rPr>
          <w:rFonts w:ascii="Calibri" w:hAnsi="Calibri"/>
          <w:b/>
          <w:i w:val="0"/>
          <w:sz w:val="22"/>
        </w:rPr>
        <w:t>CA05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SSMS (consultas nas tabelas) + Kibana/consulta ao índice.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vv-ca01-processocaptura.png</w:t>
      </w:r>
      <w:r>
        <w:rPr>
          <w:rFonts w:ascii="Calibri" w:hAnsi="Calibri"/>
          <w:b w:val="0"/>
          <w:i w:val="0"/>
          <w:sz w:val="22"/>
        </w:rPr>
        <w:t xml:space="preserve"> … </w:t>
      </w:r>
      <w:r>
        <w:rPr>
          <w:rFonts w:ascii="Courier New" w:hAnsi="Courier New"/>
          <w:b w:val="0"/>
          <w:i w:val="0"/>
          <w:color w:val="333333"/>
          <w:sz w:val="20"/>
        </w:rPr>
        <w:t>vv-ca05-erro-parcial.png</w:t>
      </w:r>
    </w:p>
    <w:p>
      <w:pPr>
        <w:pStyle w:val="Heading2"/>
        <w:keepNext/>
        <w:keepLines/>
      </w:pPr>
      <w:r>
        <w:t>4.3 Desligamento nas APIs parceiras (CA06 · RF-04 · US-10)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print do log de desligamento do NUP na parceira após captura via CNJ.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vv-ca06-desligamento-parceira.png</w:t>
      </w:r>
    </w:p>
    <w:p>
      <w:pPr>
        <w:pStyle w:val="Heading2"/>
        <w:keepNext/>
        <w:keepLines/>
      </w:pPr>
      <w:r>
        <w:t>4.4 Segredo de justiça por instância (CA07 · RF-10 · US-13)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print de </w:t>
      </w:r>
      <w:r>
        <w:rPr>
          <w:rFonts w:ascii="Courier New" w:hAnsi="Courier New"/>
          <w:b w:val="0"/>
          <w:i w:val="0"/>
          <w:color w:val="333333"/>
          <w:sz w:val="20"/>
        </w:rPr>
        <w:t>ProcessoCapturaLogin</w:t>
      </w:r>
      <w:r>
        <w:rPr>
          <w:rFonts w:ascii="Calibri" w:hAnsi="Calibri"/>
          <w:b w:val="0"/>
          <w:i w:val="0"/>
          <w:sz w:val="22"/>
        </w:rPr>
        <w:t xml:space="preserve"> com o campo </w:t>
      </w:r>
      <w:r>
        <w:rPr>
          <w:rFonts w:ascii="Courier New" w:hAnsi="Courier New"/>
          <w:b w:val="0"/>
          <w:i w:val="0"/>
          <w:color w:val="333333"/>
          <w:sz w:val="20"/>
        </w:rPr>
        <w:t>Segredo</w:t>
      </w:r>
      <w:r>
        <w:rPr>
          <w:rFonts w:ascii="Calibri" w:hAnsi="Calibri"/>
          <w:b w:val="0"/>
          <w:i w:val="0"/>
          <w:sz w:val="22"/>
        </w:rPr>
        <w:t xml:space="preserve"> setado em uma instância, sem afetar as demais do mesmo processo.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vv-ca07-segredo-instancia.png</w:t>
      </w:r>
    </w:p>
    <w:p>
      <w:pPr>
        <w:pStyle w:val="Heading2"/>
        <w:keepNext/>
        <w:keepLines/>
      </w:pPr>
      <w:r>
        <w:t>4.5 Retry de webhook (US-17 · RNF-02)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print do trecho de código do retry e/ou log de reenvio.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vv-retry-webhook.png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RASTR / REQ — Rastreabilidade requisito → código → teste</w:t>
      </w:r>
    </w:p>
    <w:p>
      <w:pPr>
        <w:pStyle w:val="Heading2"/>
        <w:keepNext/>
        <w:keepLines/>
      </w:pPr>
      <w:r>
        <w:t>5.1 Vínculo card ↔ código (REQ4)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evidência de que branches/commits/PRs referenciam o card/história (ex.: branch </w:t>
      </w:r>
      <w:r>
        <w:rPr>
          <w:rFonts w:ascii="Courier New" w:hAnsi="Courier New"/>
          <w:b w:val="0"/>
          <w:i w:val="0"/>
          <w:color w:val="333333"/>
          <w:sz w:val="20"/>
        </w:rPr>
        <w:t>feature/256-captura-cnj</w:t>
      </w:r>
      <w:r>
        <w:rPr>
          <w:rFonts w:ascii="Calibri" w:hAnsi="Calibri"/>
          <w:b w:val="0"/>
          <w:i w:val="0"/>
          <w:sz w:val="22"/>
        </w:rPr>
        <w:t>, ou commit citando o card do ClickUp).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Azure DevOps → Repos → Branches/Commits → print</w:t>
      </w:r>
      <w:r>
        <w:rPr>
          <w:rFonts w:ascii="Calibri" w:hAnsi="Calibri"/>
          <w:b w:val="0"/>
          <w:i w:val="0"/>
          <w:sz w:val="22"/>
        </w:rPr>
        <w:t xml:space="preserve">. Alternativa: </w:t>
      </w:r>
      <w:r>
        <w:rPr>
          <w:rFonts w:ascii="Courier New" w:hAnsi="Courier New"/>
          <w:b w:val="0"/>
          <w:i w:val="0"/>
          <w:color w:val="333333"/>
          <w:sz w:val="20"/>
        </w:rPr>
        <w:t>git log --oneline -30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req4-rastreabilidade-branches.png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MED — Medição</w:t>
      </w:r>
    </w:p>
    <w:p>
      <w:pPr>
        <w:pStyle w:val="Heading2"/>
        <w:keepNext/>
        <w:keepLines/>
      </w:pPr>
      <w:r>
        <w:t>6.1 Esforço em horas (MED §3 — 586 est. / ~624 real)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relatório de horas do ClickUp por atividade/fase dos projetos </w:t>
      </w:r>
      <w:r>
        <w:rPr>
          <w:rFonts w:ascii="Calibri" w:hAnsi="Calibri"/>
          <w:b/>
          <w:i w:val="0"/>
          <w:sz w:val="22"/>
        </w:rPr>
        <w:t>id 213 (EPROC/ESAJ)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id 256 (CNJ)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Onde:</w:t>
      </w:r>
      <w:r>
        <w:rPr>
          <w:rFonts w:ascii="Calibri" w:hAnsi="Calibri"/>
          <w:b w:val="0"/>
          <w:i w:val="0"/>
          <w:sz w:val="22"/>
        </w:rPr>
        <w:t xml:space="preserve"> ClickUp → Time tracking / relatório dos dois projetos → export CSV ou print.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med-horas-clickup-213-256.csv</w:t>
      </w:r>
    </w:p>
    <w:p>
      <w:pPr>
        <w:pStyle w:val="Heading2"/>
        <w:keepNext/>
        <w:keepLines/>
      </w:pPr>
      <w:r>
        <w:t>6.2 Custo e economia (MED §4)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documento afirma:</w:t>
      </w:r>
      <w:r>
        <w:rPr>
          <w:rFonts w:ascii="Calibri" w:hAnsi="Calibri"/>
          <w:b w:val="0"/>
          <w:i w:val="0"/>
          <w:sz w:val="22"/>
        </w:rPr>
        <w:t xml:space="preserve"> Solucionário R$ 0,03/instância (~R$ 16.500/mês) → CNJ R$ 0,01/processo; economia ~R$ 14.670/mês.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comprovação do custo (contrato/fatura da API CNJ e da Solucionário) e do volume (~550 mil instâncias / ~183 mil processos). </w:t>
      </w:r>
      <w:r>
        <w:rPr>
          <w:rFonts w:ascii="Calibri" w:hAnsi="Calibri"/>
          <w:b/>
          <w:i w:val="0"/>
          <w:sz w:val="22"/>
        </w:rPr>
        <w:t>Parte disso o Abraão tem (contrato).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med-custo-cnj.pdf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med-volume-processos.png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GDE — Decisão (fonte primária CNJ, 06–07/04/2026)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registro do alinhamento técnico que formalizou a escolha da DataJud/CNJ (card/ata/convite do ClickUp ou e-mail de 06–07/04/2026).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gde-alinhamento-cnj-0704.png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Mesmo print serve para a </w:t>
      </w:r>
      <w:r>
        <w:rPr>
          <w:rFonts w:ascii="Calibri" w:hAnsi="Calibri"/>
          <w:b/>
          <w:i w:val="0"/>
          <w:color w:val="1A5276"/>
          <w:sz w:val="22"/>
        </w:rPr>
        <w:t>ATA-AASPCNJ01-001</w:t>
      </w:r>
      <w:r>
        <w:rPr>
          <w:rFonts w:ascii="Calibri" w:hAnsi="Calibri"/>
          <w:b w:val="0"/>
          <w:i w:val="0"/>
          <w:color w:val="1A5276"/>
          <w:sz w:val="22"/>
        </w:rPr>
        <w:t xml:space="preserve"> e para a integração do Levi Santos ao time (</w:t>
      </w:r>
      <w:r>
        <w:rPr>
          <w:rFonts w:ascii="Calibri" w:hAnsi="Calibri"/>
          <w:b/>
          <w:i w:val="0"/>
          <w:color w:val="1A5276"/>
          <w:sz w:val="22"/>
        </w:rPr>
        <w:t>CAP</w:t>
      </w:r>
      <w:r>
        <w:rPr>
          <w:rFonts w:ascii="Calibri" w:hAnsi="Calibri"/>
          <w:b w:val="0"/>
          <w:i w:val="0"/>
          <w:color w:val="1A5276"/>
          <w:sz w:val="22"/>
        </w:rPr>
        <w:t>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CAP — Capacitação / transferência de conhecimento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a trazer:</w:t>
      </w:r>
      <w:r>
        <w:rPr>
          <w:rFonts w:ascii="Calibri" w:hAnsi="Calibri"/>
          <w:b w:val="0"/>
          <w:i w:val="0"/>
          <w:sz w:val="22"/>
        </w:rPr>
        <w:t xml:space="preserve"> documentação técnica disponibilizada ao time (coleção Postman da API CNJ e registros de banco no Azure DevOps </w:t>
      </w:r>
      <w:r>
        <w:rPr>
          <w:rFonts w:ascii="Courier New" w:hAnsi="Courier New"/>
          <w:b w:val="0"/>
          <w:i w:val="0"/>
          <w:color w:val="333333"/>
          <w:sz w:val="20"/>
        </w:rPr>
        <w:t>/docs</w:t>
      </w:r>
      <w:r>
        <w:rPr>
          <w:rFonts w:ascii="Calibri" w:hAnsi="Calibri"/>
          <w:b w:val="0"/>
          <w:i w:val="0"/>
          <w:sz w:val="22"/>
        </w:rPr>
        <w:t>) — print mostrando que está versionada e acessível.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Arquivo: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cap-docs-postman-repo.png</w:t>
      </w:r>
      <w:r>
        <w:rPr>
          <w:rFonts w:ascii="Calibri" w:hAnsi="Calibri"/>
          <w:b w:val="0"/>
          <w:i w:val="0"/>
          <w:sz w:val="22"/>
        </w:rPr>
        <w:t xml:space="preserve"> (pode reusar o </w:t>
      </w:r>
      <w:r>
        <w:rPr>
          <w:rFonts w:ascii="Courier New" w:hAnsi="Courier New"/>
          <w:b w:val="0"/>
          <w:i w:val="0"/>
          <w:color w:val="333333"/>
          <w:sz w:val="20"/>
        </w:rPr>
        <w:t>itp-postman-cnj.json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Prioridade máxima (se o prazo apertar)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PRs aprovados (code review) — GCO/REV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→ Pull Requests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min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 de baseline (v240) — GCO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→ Repos → Tags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min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 OK: ProcessoCaptura status 3 + instância + Elasticsearch — VV (CA01–CA04)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+ Kibana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 min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 parcial por instância (CA05) e segredo por instância (CA07) — VV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 min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Bugs no ClickUp (BUG-05/06 da fila) — VV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ClickUp/Boards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 min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Fila RabbitMQ unificada — ITP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RabbitMQ Management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min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Horas por fase (id 213 e 256) — MED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ClickUp → relatório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 min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Como organizar e entregar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evidencias-tecnicas-aaspcnj/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PCP/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pcp-arquitetura-diagrama.png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pcp-schema-tabelas-controle.png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pcp-roteamento-codigofonteapi.png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ITP/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itp-postman-cnj.json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itp-rabbitmq-fila.png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itp-webhook-indexacao.png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itp-pipeline-cicd.png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GCO/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gco-branches-gitflow.png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gco-tags-baseline.png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gco-pr-aprovado-1.png / -2.png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VV/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vv-bugs-clickup.csv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vv-ca01-processocaptura.png … vv-ca05-erro-parcial.png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vv-ca06-desligamento-parceira.png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vv-ca07-segredo-instancia.png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vv-retry-webhook.png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REQ/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req4-rastreabilidade-branches.png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MED/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med-horas-clickup-213-256.csv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med-custo-cnj.pdf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 GDE-CAP/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 gde-alinhamento-cnj-0704.png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Qualquer dúvida sobre onde encontrar um item, me chama. Conforme as evidências chegarem, eu anexo cada uma ao registro correspondente (PCP, ITP, VV, GCO, MED…).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12/06/2026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12/06/2026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COLETA-EVIDENCIAS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