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TÉCNICO DO FLUXO DE CAPTURA API 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Time   ·   Versão Data   ·   Abraão Oliveira / time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 entendimento do fluxo da API CNJ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Levi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via API DataJud/CNJ.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responsabilidades para 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incorporado ao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Gerente de Projeto apresentou o fluxo completo da nova arquitetura: funcionamento da API DataJud,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mecanismos de fallback (CNJ → EPROC/ESAJ → parceiras) e modelo de dados de gravação no Elasticsearch (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). Foi alinhado o enfileiramento unificado no RabbitMQ e a gestão compartilhada do token Bearer.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DataJud/CNJ como fonte primária universal (D02)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do JSON CNJ no worker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GDE-AASPCNJ01-001.)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o worker de requisição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Implementar enfileiramento unificado com verificação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Início da Fase 4 (Desenvolvimento CNJ): captura via DataJud, fluxo de gravação via webhook e lógica de fallback.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do alinhamento de 07/04/2026 reconstituída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Abraão Oliveira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Abraão Oliveira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Time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