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ANÁLISE DE DECISÃO (RAD) — AASP_CNJ · FONTE PRIMÁRIA DE CAPTURA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GDE-AASPCNJ01-001   ·   Versão Data   ·   06/04/2026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(com o time de desenvolvimento)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Problema / decisão a tomar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Definir a fonte primária de captura de andamentos processuais que substituiria o modelo anterior (web scrapers frágeis e APIs privadas pagas, com custo de ~R$ 16.500/mês e cobertura incompleta).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Gatilho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Escolha de tecnologia/fornecedor de alto impacto financeiro e operacional, com efeito na arquitetura de captura — atinge os gatilhos do PRO-GDE-001 (tecnologia/fornecedor e alto impacto).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Alternativas consideradas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APIs privadas (Solucionário/Botmax)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Continuar a captura por fornecedores pagos, com custo por instância e cobertura parcial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Crawler próprio universal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Estender o engine EPROC/ESAJ para todos os tribunais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DataJud/CNJ como fonte primária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oficial, gratuita por baixo custo, padronizada e de cobertura nacional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Critérios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por captura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tribunais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Padronização do modelo de dados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 / estabilidade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indisponibilidade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(matriz de decisão)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Escala 1–3 por critério (3 = melhor atende). Pontuação ponderada pelo peso.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A (privadas)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B (crawler universal)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Alt. C (CNJ)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por captura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tribunais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indisponibilidade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ponderado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Decisão e justificativa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Escolhida a </w:t>
      </w:r>
      <w:r>
        <w:rPr>
          <w:rFonts w:ascii="Calibri" w:hAnsi="Calibri"/>
          <w:b/>
          <w:i w:val="0"/>
          <w:sz w:val="22"/>
        </w:rPr>
        <w:t>Alternativa C — API DataJud/CNJ como fonte primária universal</w:t>
      </w:r>
      <w:r>
        <w:rPr>
          <w:rFonts w:ascii="Calibri" w:hAnsi="Calibri"/>
          <w:b w:val="0"/>
          <w:i w:val="0"/>
          <w:sz w:val="22"/>
        </w:rPr>
        <w:t xml:space="preserve">. Reúne cobertura nacional com um único endpoint padronizado, custo de R$ 0,01/processo (vs. R$ 0,03/instância da principal privada) e modelo de dados uniforme, simplificando a serialização para o Elasticsearch. Economia projetada de ~R$ 180 mil anuais. As fontes EPROC/ESAJ e parceiras permanecem como fallback configurável por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Riscos associados à decisão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Indisponibilidade/alteração da API CNJ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EPROC/ESAJ e parceiras como fallback configurável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CNJ não cobre processos em segredo de justiça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obrigatório por instância (EPROC/ESAJ ou parceiras com credencial)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Premissas (para revisão futura)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DataJud/CNJ permanece disponível com a cobertura declarada.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custo de R$ 0,01/processo se mantém conforme contratado.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Anexo — Registro consolidado de decisões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Desenvolver engine nativo EPROC/ESAJ para o TJSP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Eliminar dependência de APIs privadas no maior tribunal e reduzir custo no maior volume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Adotar a API DataJud/CNJ como fonte primária universal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universal, custo reduzido e padronização (RAD detalhado acima)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Unificar a fila RabbitMQ para todos os tribunais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Elimina código duplicado e simplifica o roteamento e o escalonamento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Armazenar o token Bearer CNJ de forma compartilhada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Evitar renovações paralelas e condições de corrida entre workers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Tratar o JSON da API CNJ no worker (não na API)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Worker entrega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pronto, simplificando a API AndamentosProcessuais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Pausar o desenvolvimento da captura de 2ª instância EPROC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Priorização acordada com o cliente para focar na integração CNJ (ver CR-AASPCNJ01-001)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Controlar segredo de justiça por instância (campo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 processo pode estar em segredo em uma instância e não em outra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RAD da fonte primária de captura (D02) + registro consolidado de decisões,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06/04/2026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06/04/2026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GDE-AASPCNJ01-001</w:t>
    </w:r>
    <w:r>
      <w:tab/>
    </w:r>
    <w:r>
      <w:rPr>
        <w:rFonts w:ascii="Calibri" w:hAnsi="Calibri"/>
        <w:color w:val="555555"/>
        <w:sz w:val="18"/>
      </w:rPr>
      <w:t>Gerência de Decisões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