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(STATUS REPORT)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RAC-AASPCNJ01-001   ·   Versão Data   ·   Carlos Alves (AASP)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Junho/2026 — Fase 6 (Implantação e Complementos)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Destinatários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Carlos Alves (Representante do Cliente — AASP); Patrocinador interno (Timeware)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Situação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Desenvolvimento concluído (Fases 1–5); o projeto está em implantação em produção (Fase 6), com encerramento previsto para 30/06/2026.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Comentário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Atenção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concluído em 01/06/2026 (~30 dias após o alvo de 02/05), por escopo adicional acordado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Em mudança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 de 2ª instância EPROC pausada e retomada em jun/2026 (CR-AASPCNJ01-001)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Risco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Sob controle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Travamento de fila corrigido; monitoramento ativo implantado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Qualidade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Dentro do esperado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 defeitos tratados; critérios de aceite validados por amostragem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Resumo do período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integração CNJ está concluída e validada (sucesso, fallback e erro parcial por instância). A operação migra progressivamente das APIs privadas para a fonte CNJ, com desligamento automático dos NUPs nas parceiras após a primeira captura. No período corrente, o foco é a montagem dos pacotes de GMUD, o deploy em produção e a retomada da captura de 2ª instância no EPROC.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Indicadores do período (destaque):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total realizado (parcial)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~624 h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Economia mensal projetada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~R$ 14.670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Fases concluídas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de 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(backlog Jira)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 concluídas + 1 em andamento — ver GEST-AASPCNJ01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Entregas realizadas no período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 / valor para 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DataJud/CNJ (fonte primária)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nacional e custo R$ 0,01/processo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fallback (3 níveis)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Resiliência da captura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Desligamento automático nas parceiras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do duplo pagamento na migração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segredo de justiça por instância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correto sem omissões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do travamento de fila (137 mil itens)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Estabilidade da operação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Planejado para o próximo período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/ marco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Deploy em produção (pacotes GMUD)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Agendamento com Infraestrutura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 de 2ª instância EPROC (retomada)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Retomada após conclusão da Fase 5 (CR-AASPCNJ01-001)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 e ata de aceite (Onda 3)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Indicadores do projeto (acompanhamento)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 / 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 atual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Tendência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estimado × 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≤ 10% desvio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+~6% (601–624 h vs. 586 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➡️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Estabilidade da fila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Zero travamentos manuais/mês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Estável após correção da Fase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⬆️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Economia de custo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R$ 12.500/mês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~R$ 14.670/mês projetado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⬆️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Diário de bordo (eventos e impactos)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Evento / motivo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Origem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Timeout após captcha Cloudflare (EPROC)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Externo (portal)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de espera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(BUG-01)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Fila RabbitMQ acumulou 137 mil itens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Estabilização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(BUG-05/06)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Pausa da 2ª instância EPROC para priorizar CNJ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Acordo c/ cliente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Realocação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(CR-001)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Atividades de finalização e retomada da 2ª instância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curso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Pontos de atenção, riscos e plano de 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Cobertura de segredo de justiça</w:t>
      </w:r>
      <w:r>
        <w:rPr>
          <w:rFonts w:ascii="Calibri" w:hAnsi="Calibri"/>
          <w:b w:val="0"/>
          <w:i w:val="0"/>
          <w:sz w:val="22"/>
        </w:rPr>
        <w:t xml:space="preserve"> — 🟡 Médio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Ponto:</w:t>
      </w:r>
      <w:r>
        <w:rPr>
          <w:rFonts w:ascii="Calibri" w:hAnsi="Calibri"/>
          <w:b w:val="0"/>
          <w:i w:val="0"/>
          <w:sz w:val="22"/>
        </w:rPr>
        <w:t xml:space="preserve"> o CNJ não retorna processos em segredo; alguns tribunais exigem credenciais específicas.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Risco:</w:t>
      </w:r>
      <w:r>
        <w:rPr>
          <w:rFonts w:ascii="Calibri" w:hAnsi="Calibri"/>
          <w:b w:val="0"/>
          <w:i w:val="0"/>
          <w:sz w:val="22"/>
        </w:rPr>
        <w:t xml:space="preserve"> instâncias sem atualização quando a credencial não está disponível.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Ação:</w:t>
      </w:r>
      <w:r>
        <w:rPr>
          <w:rFonts w:ascii="Calibri" w:hAnsi="Calibri"/>
          <w:b w:val="0"/>
          <w:i w:val="0"/>
          <w:sz w:val="22"/>
        </w:rPr>
        <w:t xml:space="preserve"> fallback por instância (EPROC/ESAJ ou parceiras com credencial); solicitação de credenciais aos associados via gerenciador.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Mudanças (change requests)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Abertura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 final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CR-AASPCNJ01-001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Pausa e retomada da captura de 2ª instância EPROC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 (acordada com o cliente)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Decisões necessárias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necessária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 desejado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Confirmação da data de aceite formal e do go-live em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Carlos Alves (AASP)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Cadência de reporte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Periodicidade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marco/fase, com reuniões de alinhamento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alinhamento + devolutivas ao cliente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acompanhamento (Fase 6) consolidado a partir do Registro de Projeto AASP_CNJ v1.0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Carlos Alves (AASP)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Carlos Alves (AASP)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RAC-AASPCNJ01-001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