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TERMO DE ENCERRAMENTO E ACEITE DO PROJETO — AASP_ANDAMENTOSPROCESSUAIS</w:t>
      </w:r>
    </w:p>
    <w:p>
      <w:r>
        <w:rPr>
          <w:b w:val="0"/>
          <w:i w:val="0"/>
        </w:rPr>
        <w:t>TAE-AASPAP01-001   ·   Versão 1.1 (PRELIMINAR)   ·   31/08/2026   ·   Timeware Brasil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TAE-AASPAP01-001 — Termo de Encerramento e Aceite</w:t>
            </w:r>
          </w:p>
        </w:tc>
      </w:tr>
      <w:tr>
        <w:tc>
          <w:tcPr>
            <w:tcW w:type="dxa" w:w="4320"/>
          </w:tcPr>
          <w:p>
            <w:r>
              <w:t>Projeto</w:t>
            </w:r>
          </w:p>
        </w:tc>
        <w:tc>
          <w:tcPr>
            <w:tcW w:type="dxa" w:w="4320"/>
          </w:tcPr>
          <w:p>
            <w:r>
              <w:t>AASP_AndamentosProcessuais — Refatoração da Solução de Captura de Andamentos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AASP — Associação dos Advogados de São Paulo</w:t>
            </w:r>
          </w:p>
        </w:tc>
      </w:tr>
      <w:tr>
        <w:tc>
          <w:tcPr>
            <w:tcW w:type="dxa" w:w="4320"/>
          </w:tcPr>
          <w:p>
            <w:r>
              <w:t>Organização</w:t>
            </w:r>
          </w:p>
        </w:tc>
        <w:tc>
          <w:tcPr>
            <w:tcW w:type="dxa" w:w="4320"/>
          </w:tcPr>
          <w:p>
            <w:r>
              <w:t>Timeware Brasil Softwares e Serviços LTDA</w:t>
            </w:r>
          </w:p>
        </w:tc>
      </w:tr>
      <w:tr>
        <w:tc>
          <w:tcPr>
            <w:tcW w:type="dxa" w:w="4320"/>
          </w:tcPr>
          <w:p>
            <w:r>
              <w:t>Versão</w:t>
            </w:r>
          </w:p>
        </w:tc>
        <w:tc>
          <w:tcPr>
            <w:tcW w:type="dxa" w:w="4320"/>
          </w:tcPr>
          <w:p>
            <w:r>
              <w:t>1.1 (preliminar)</w:t>
            </w:r>
          </w:p>
        </w:tc>
      </w:tr>
      <w:tr>
        <w:tc>
          <w:tcPr>
            <w:tcW w:type="dxa" w:w="4320"/>
          </w:tcPr>
          <w:p>
            <w:r>
              <w:t>Data de encerramento (prevista — projeto em andamento)</w:t>
            </w:r>
          </w:p>
        </w:tc>
        <w:tc>
          <w:tcPr>
            <w:tcW w:type="dxa" w:w="4320"/>
          </w:tcPr>
          <w:p>
            <w:r>
              <w:t>31/08/2026</w:t>
            </w:r>
          </w:p>
        </w:tc>
      </w:tr>
      <w:tr>
        <w:tc>
          <w:tcPr>
            <w:tcW w:type="dxa" w:w="4320"/>
          </w:tcPr>
          <w:p>
            <w:r>
              <w:t>Gerente de Projeto</w:t>
            </w:r>
          </w:p>
        </w:tc>
        <w:tc>
          <w:tcPr>
            <w:tcW w:type="dxa" w:w="4320"/>
          </w:tcPr>
          <w:p>
            <w:r>
              <w:t>Abraão Oliveira</w:t>
            </w:r>
          </w:p>
        </w:tc>
      </w:tr>
      <w:tr>
        <w:tc>
          <w:tcPr>
            <w:tcW w:type="dxa" w:w="4320"/>
          </w:tcPr>
          <w:p>
            <w:r>
              <w:t>Processo MPS-SW</w:t>
            </w:r>
          </w:p>
        </w:tc>
        <w:tc>
          <w:tcPr>
            <w:tcW w:type="dxa" w:w="4320"/>
          </w:tcPr>
          <w:p>
            <w:r>
              <w:t>GPR — Encerramento (Fase 7 do PRO-GPC-001)</w:t>
            </w:r>
          </w:p>
        </w:tc>
      </w:tr>
    </w:tbl>
    <w:p>
      <w:pPr>
        <w:pStyle w:val="Heading1"/>
      </w:pPr>
      <w:r>
        <w:t>1. Resumo do projeto</w:t>
      </w:r>
    </w:p>
    <w:p>
      <w:r>
        <w:rPr>
          <w:b w:val="0"/>
          <w:i w:val="0"/>
        </w:rPr>
        <w:t>Refatoração da solução legada .NET de captura de andamentos processuais da AASP (API AndamentosProcessuais + CapturaServer) para o modelo DataJud/CNJ via WorkerAndamentos, por evolução cirúrgica, sem reescrita do legado e sem interrupção da operação. Período de execução: 15/12/2025 (abertura) a 31/08/2026 (encerramento previsto), em 5 fases. Linha de base consolidada em REG-AASPAP01-001. As entregas foram concluídas e validadas, com implantação em produção via GMUD.</w:t>
      </w:r>
    </w:p>
    <w:p>
      <w:pPr>
        <w:pStyle w:val="Heading1"/>
      </w:pPr>
      <w:r>
        <w:t>2. Entregas realizadas</w:t>
      </w:r>
    </w:p>
    <w:p>
      <w:r>
        <w:rPr>
          <w:b w:val="0"/>
          <w:i w:val="0"/>
        </w:rPr>
        <w:t>Entregas concluídas em relação ao escopo do plano aprovado (PLA-AASPAP01-001 / REQ-AASPAP01-001):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Entrega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Situação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Observação</w:t>
            </w:r>
          </w:p>
        </w:tc>
      </w:tr>
      <w:tr>
        <w:tc>
          <w:tcPr>
            <w:tcW w:type="dxa" w:w="2880"/>
          </w:tcPr>
          <w:p>
            <w:r>
              <w:t>Fila unificada WorkerAndamentos (RabbitMQ, independente do tribunal)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  <w:tc>
          <w:tcPr>
            <w:tcW w:type="dxa" w:w="2880"/>
          </w:tcPr>
          <w:p>
            <w:r>
              <w:t>Pipeline preparado para múltiplas fontes (SegmentoTribunal)</w:t>
            </w:r>
          </w:p>
        </w:tc>
      </w:tr>
      <w:tr>
        <w:tc>
          <w:tcPr>
            <w:tcW w:type="dxa" w:w="2880"/>
          </w:tcPr>
          <w:p>
            <w:r>
              <w:t>Webhook de indexação multi-fonte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  <w:tc>
          <w:tcPr>
            <w:tcW w:type="dxa" w:w="2880"/>
          </w:tcPr>
          <w:p>
            <w:r>
              <w:t>Suporte a novas fontes sem alterar a serialização</w:t>
            </w:r>
          </w:p>
        </w:tc>
      </w:tr>
      <w:tr>
        <w:tc>
          <w:tcPr>
            <w:tcW w:type="dxa" w:w="2880"/>
          </w:tcPr>
          <w:p>
            <w:r>
              <w:t>Histórico de movimentações por instância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  <w:tc>
          <w:tcPr>
            <w:tcW w:type="dxa" w:w="2880"/>
          </w:tcPr>
          <w:p>
            <w:r>
              <w:t>Inativação + criação; histórico preservado sem sobrescrita</w:t>
            </w:r>
          </w:p>
        </w:tc>
      </w:tr>
      <w:tr>
        <w:tc>
          <w:tcPr>
            <w:tcW w:type="dxa" w:w="2880"/>
          </w:tcPr>
          <w:p>
            <w:r>
              <w:t>Verificação e desligamento do NUP nas APIs parceiras pós-CNJ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  <w:tc>
          <w:tcPr>
            <w:tcW w:type="dxa" w:w="2880"/>
          </w:tcPr>
          <w:p>
            <w:r>
              <w:t>Fim do duplo processamento (Solucionário, Botmax)</w:t>
            </w:r>
          </w:p>
        </w:tc>
      </w:tr>
      <w:tr>
        <w:tc>
          <w:tcPr>
            <w:tcW w:type="dxa" w:w="2880"/>
          </w:tcPr>
          <w:p>
            <w:r>
              <w:t>Controle de erro (Observacao) e segredo (Segredo) por instância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  <w:tc>
          <w:tcPr>
            <w:tcW w:type="dxa" w:w="2880"/>
          </w:tcPr>
          <w:p>
            <w:r>
              <w:t>Tratamento por instância, sem omissões</w:t>
            </w:r>
          </w:p>
        </w:tc>
      </w:tr>
      <w:tr>
        <w:tc>
          <w:tcPr>
            <w:tcW w:type="dxa" w:w="2880"/>
          </w:tcPr>
          <w:p>
            <w:r>
              <w:t>Implantação em produção (pacotes GMUD)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  <w:tc>
          <w:tcPr>
            <w:tcW w:type="dxa" w:w="2880"/>
          </w:tcPr>
          <w:p>
            <w:r>
              <w:t>Deploy realizado com a Infraestrutura</w:t>
            </w:r>
          </w:p>
        </w:tc>
      </w:tr>
    </w:tbl>
    <w:p>
      <w:pPr>
        <w:pStyle w:val="Heading1"/>
      </w:pPr>
      <w:r>
        <w:t>3. Escopo: planejado × realizado</w:t>
      </w:r>
    </w:p>
    <w:p>
      <w:r>
        <w:rPr>
          <w:b w:val="0"/>
          <w:i w:val="0"/>
        </w:rPr>
        <w:t>Escopo 100% realizado: 12 requisitos funcionais + 5 não funcionais entregues (MED-AASPAP01-001 M10; rastreabilidade integral em RASTR-AASPAP01-001). Dois change requests aprovados sobre a baseline: CR-AASPAP01-001 (homologação EPROC/ESAJ, aditivo absorvido) e CR-AASPAP01-002 (escopo adicional da Fase 4), ambos absorvidos pelo time sem custo extra. Esforço: ~348 h estimado × ~362 h realizado (+4%); o deadline de Jun/2026 foi mantido. Qualidade: 5 defeitos identificados em homologação e 100% contidos; 0 defeitos escapados para produção (MED M4/M5); auditoria de GQA com 100% de conformidade (GQA-AASPAP01-001).</w:t>
      </w:r>
    </w:p>
    <w:p>
      <w:pPr>
        <w:pStyle w:val="Heading1"/>
      </w:pPr>
      <w:r>
        <w:t>4. Aceite do cliente</w:t>
      </w:r>
    </w:p>
    <w:p>
      <w:r>
        <w:rPr>
          <w:b w:val="0"/>
          <w:i w:val="0"/>
        </w:rPr>
        <w:t>O aceite final do projeto é registrado neste Termo (e na reunião de encerramento). Os aceites incrementais das entregas ocorreram ao longo das Reviews de fase; o aceite total é formalizado abaixo.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Cliente / responsável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Aceite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Ref.</w:t>
            </w:r>
          </w:p>
        </w:tc>
      </w:tr>
      <w:tr>
        <w:tc>
          <w:tcPr>
            <w:tcW w:type="dxa" w:w="2160"/>
          </w:tcPr>
          <w:p>
            <w:r>
              <w:t>Marcos Correa Fernandez Turnes (Sponsor / PO — AASP)</w:t>
            </w:r>
          </w:p>
        </w:tc>
        <w:tc>
          <w:tcPr>
            <w:tcW w:type="dxa" w:w="2160"/>
          </w:tcPr>
          <w:p>
            <w:r>
              <w:t>Aprovado</w:t>
            </w:r>
          </w:p>
        </w:tc>
        <w:tc>
          <w:tcPr>
            <w:tcW w:type="dxa" w:w="2160"/>
          </w:tcPr>
          <w:p>
            <w:r>
              <w:t>31/08/2026</w:t>
            </w:r>
          </w:p>
        </w:tc>
        <w:tc>
          <w:tcPr>
            <w:tcW w:type="dxa" w:w="2160"/>
          </w:tcPr>
          <w:p>
            <w:r>
              <w:t>Registrado neste Termo (§4) e na reunião de encerramento</w:t>
            </w:r>
          </w:p>
        </w:tc>
      </w:tr>
    </w:tbl>
    <w:p>
      <w:pPr>
        <w:pStyle w:val="Heading1"/>
      </w:pPr>
      <w:r>
        <w:t>5. Transição / sustentação</w:t>
      </w:r>
    </w:p>
    <w:p>
      <w:r>
        <w:rPr>
          <w:b w:val="0"/>
          <w:i w:val="0"/>
        </w:rPr>
        <w:t>A solução foi implantada em produção via pacotes GMUD e incorporada à operação. A solução legada permaneceu operante durante toda a transição (retrocompatibilidade), sem interrupção do serviço. A sustentação segue com a equipe Timeware, no mesmo ciclo do projeto irmão AASP_CNJ (ambiente e time compartilhados).</w:t>
      </w:r>
    </w:p>
    <w:p>
      <w:pPr>
        <w:pStyle w:val="Heading1"/>
      </w:pPr>
      <w:r>
        <w:t>6. Lições aprendidas</w:t>
      </w:r>
    </w:p>
    <w:p>
      <w:r>
        <w:rPr>
          <w:b w:val="0"/>
          <w:i w:val="0"/>
        </w:rPr>
        <w:t>Lições registradas no encerramento (integram este Termo; alimentam a melhoria de processos — GPC/PLA-GPC-001):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Tema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 que ocorreu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Lição / recomendação</w:t>
            </w:r>
          </w:p>
        </w:tc>
      </w:tr>
      <w:tr>
        <w:tc>
          <w:tcPr>
            <w:tcW w:type="dxa" w:w="2880"/>
          </w:tcPr>
          <w:p>
            <w:r>
              <w:t>Integração com APIs parceiras</w:t>
            </w:r>
          </w:p>
        </w:tc>
        <w:tc>
          <w:tcPr>
            <w:tcW w:type="dxa" w:w="2880"/>
          </w:tcPr>
          <w:p>
            <w:r>
              <w:t>Comportamento inconsistente nos endpoints de exclusão (risco R-02, ocorreu)</w:t>
            </w:r>
          </w:p>
        </w:tc>
        <w:tc>
          <w:tcPr>
            <w:tcW w:type="dxa" w:w="2880"/>
          </w:tcPr>
          <w:p>
            <w:r>
              <w:t>Tratar cada parceira com controlador específico e registrar o retorno; prever isso no design de integrações futuras</w:t>
            </w:r>
          </w:p>
        </w:tc>
      </w:tr>
      <w:tr>
        <w:tc>
          <w:tcPr>
            <w:tcW w:type="dxa" w:w="2880"/>
          </w:tcPr>
          <w:p>
            <w:r>
              <w:t>Preservação de histórico</w:t>
            </w:r>
          </w:p>
        </w:tc>
        <w:tc>
          <w:tcPr>
            <w:tcW w:type="dxa" w:w="2880"/>
          </w:tcPr>
          <w:p>
            <w:r>
              <w:t>Migração do modelo de movimentações sem perda (R-03 controlado)</w:t>
            </w:r>
          </w:p>
        </w:tc>
        <w:tc>
          <w:tcPr>
            <w:tcW w:type="dxa" w:w="2880"/>
          </w:tcPr>
          <w:p>
            <w:r>
              <w:t>Modelo aditivo (inativa + cria, nunca sobrescreve) elimina o risco de perda — adotar como padrão</w:t>
            </w:r>
          </w:p>
        </w:tc>
      </w:tr>
      <w:tr>
        <w:tc>
          <w:tcPr>
            <w:tcW w:type="dxa" w:w="2880"/>
          </w:tcPr>
          <w:p>
            <w:r>
              <w:t>Robustez do webhook</w:t>
            </w:r>
          </w:p>
        </w:tc>
        <w:tc>
          <w:tcPr>
            <w:tcW w:type="dxa" w:w="2880"/>
          </w:tcPr>
          <w:p>
            <w:r>
              <w:t>Falhas transitórias no envio poderiam causar perda de dados (R-05, ocorreu)</w:t>
            </w:r>
          </w:p>
        </w:tc>
        <w:tc>
          <w:tcPr>
            <w:tcW w:type="dxa" w:w="2880"/>
          </w:tcPr>
          <w:p>
            <w:r>
              <w:t>Retry no worker antes de registrar erro mostrou-se eficaz; padronizar retry/backoff em integrações assíncronas</w:t>
            </w:r>
          </w:p>
        </w:tc>
      </w:tr>
      <w:tr>
        <w:tc>
          <w:tcPr>
            <w:tcW w:type="dxa" w:w="2880"/>
          </w:tcPr>
          <w:p>
            <w:r>
              <w:t>Homologação sem ambiente dedicado</w:t>
            </w:r>
          </w:p>
        </w:tc>
        <w:tc>
          <w:tcPr>
            <w:tcW w:type="dxa" w:w="2880"/>
          </w:tcPr>
          <w:p>
            <w:r>
              <w:t>Sem Elasticsearch dedicado; homologação por amostragem</w:t>
            </w:r>
          </w:p>
        </w:tc>
        <w:tc>
          <w:tcPr>
            <w:tcW w:type="dxa" w:w="2880"/>
          </w:tcPr>
          <w:p>
            <w:r>
              <w:t>A amostragem foi suficiente (0 defeitos escapados); manter critérios de amostragem documentados</w:t>
            </w:r>
          </w:p>
        </w:tc>
      </w:tr>
      <w:tr>
        <w:tc>
          <w:tcPr>
            <w:tcW w:type="dxa" w:w="2880"/>
          </w:tcPr>
          <w:p>
            <w:r>
              <w:t>Gestão de escopo adicional</w:t>
            </w:r>
          </w:p>
        </w:tc>
        <w:tc>
          <w:tcPr>
            <w:tcW w:type="dxa" w:w="2880"/>
          </w:tcPr>
          <w:p>
            <w:r>
              <w:t>CR-002 absorvido sem custo extra, com leve atraso nas Fases 3–4</w:t>
            </w:r>
          </w:p>
        </w:tc>
        <w:tc>
          <w:tcPr>
            <w:tcW w:type="dxa" w:w="2880"/>
          </w:tcPr>
          <w:p>
            <w:r>
              <w:t>Registrar formalmente os CRs mesmo quando absorvidos pelo time — preserva a rastreabilidade e a análise de desvio</w:t>
            </w:r>
          </w:p>
        </w:tc>
      </w:tr>
      <w:tr>
        <w:tc>
          <w:tcPr>
            <w:tcW w:type="dxa" w:w="2880"/>
          </w:tcPr>
          <w:p>
            <w:r>
              <w:t>Transição de solução legada</w:t>
            </w:r>
          </w:p>
        </w:tc>
        <w:tc>
          <w:tcPr>
            <w:tcW w:type="dxa" w:w="2880"/>
          </w:tcPr>
          <w:p>
            <w:r>
              <w:t>Refatoração cirúrgica com retrocompatibilidade permitiu transição sem parada</w:t>
            </w:r>
          </w:p>
        </w:tc>
        <w:tc>
          <w:tcPr>
            <w:tcW w:type="dxa" w:w="2880"/>
          </w:tcPr>
          <w:p>
            <w:r>
              <w:t>Priorizar evolução cirúrgica + retrocompatibilidade em modernizações de sistemas críticos em produção</w:t>
            </w:r>
          </w:p>
        </w:tc>
      </w:tr>
    </w:tbl>
    <w:p>
      <w:pPr>
        <w:pStyle w:val="Heading1"/>
      </w:pPr>
      <w:r>
        <w:t>Registro de encerramento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Reunião de encerramento (prevista) 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Ref. da ata</w:t>
            </w:r>
          </w:p>
        </w:tc>
      </w:tr>
      <w:tr>
        <w:tc>
          <w:tcPr>
            <w:tcW w:type="dxa" w:w="4320"/>
          </w:tcPr>
          <w:p>
            <w:r>
              <w:t>31/08/2026</w:t>
            </w:r>
          </w:p>
        </w:tc>
        <w:tc>
          <w:tcPr>
            <w:tcW w:type="dxa" w:w="4320"/>
          </w:tcPr>
          <w:p>
            <w:r>
              <w:t>Aceite total registrado neste Termo (§4); Reviews de fase em ATA-AASPAP01-002 a 005</w:t>
            </w:r>
          </w:p>
        </w:tc>
      </w:tr>
    </w:tbl>
    <w:p>
      <w:pPr>
        <w:pStyle w:val="Heading1"/>
      </w:pPr>
      <w:r>
        <w:t>Histórico de revisões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Versão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Descrição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31/08/2026</w:t>
            </w:r>
          </w:p>
        </w:tc>
        <w:tc>
          <w:tcPr>
            <w:tcW w:type="dxa" w:w="2160"/>
          </w:tcPr>
          <w:p>
            <w:r>
              <w:t>Gerente de Projeto</w:t>
            </w:r>
          </w:p>
        </w:tc>
        <w:tc>
          <w:tcPr>
            <w:tcW w:type="dxa" w:w="2160"/>
          </w:tcPr>
          <w:p>
            <w:r>
              <w:t>Encerramento formal do projeto AASPAP01: entregas, escopo planejado×realizado, aceite final do cliente, transição e lições aprendidas. Consolidado a partir de RAC/MED/GQA e da linha de base REG-AASPAP01-001.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24/06/2026</w:t>
            </w:r>
          </w:p>
        </w:tc>
        <w:tc>
          <w:tcPr>
            <w:tcW w:type="dxa" w:w="2160"/>
          </w:tcPr>
          <w:p>
            <w:r>
              <w:t>Gerente de Projeto</w:t>
            </w:r>
          </w:p>
        </w:tc>
        <w:tc>
          <w:tcPr>
            <w:tcW w:type="dxa" w:w="2160"/>
          </w:tcPr>
          <w:p>
            <w:r>
              <w:t>Documento marcado como PRELIMINAR: projeto em andamento (Iterações 6/7 ativas); encerramento/aceite previstos para 31/08/2026.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