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Revisado o andamento das Fases 3–4: webhook multi-fonte e movimentações entregues; foco no tratamento de erros por instância (campo Observacao), no controle de segredo de justiça por instância (campo Segredo, decisão D07) e na atualização do CodigoFonteAPI. Esse escopo adicional foi formalizado no CR-AASPAP01-002. Acordada a continuidade autônoma do time durante a ausência do gestor.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da Planilha de Gestão GEST-AASPAP01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