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legada AndamentosProcessuais (.NET) é refatorada de forma cirúrgica em dois componentes coordenados: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passa a publicar os processos pendentes na fila unificada WorkerAndamentos (RabbitMQ) com o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; e a </w:t>
      </w:r>
      <w:r>
        <w:rPr>
          <w:rFonts w:ascii="Calibri" w:hAnsi="Calibri"/>
          <w:b/>
          <w:i w:val="0"/>
          <w:sz w:val="22"/>
        </w:rPr>
        <w:t>API AndamentosProcessuais</w:t>
      </w:r>
      <w:r>
        <w:rPr>
          <w:rFonts w:ascii="Calibri" w:hAnsi="Calibri"/>
          <w:b w:val="0"/>
          <w:i w:val="0"/>
          <w:sz w:val="22"/>
        </w:rPr>
        <w:t xml:space="preserve">, que recebe os dados capturados via webhook multi-fonte,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, indexa no Elasticsearch e atualiza as tabelas de controle. O design atende à unificação de fila (RF01), ao suporte multi-fonte (RF02), ao histórico de movimentações por instância (RF03, RF04), ao desligamento nas parceiras (RF05, RF06), ao tratamento de erros e segredo por instância (RF07–RF11) e à priorização de retorno (RF12), preservando a retrocompatibilidade do fluxo existente (RNF01).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refatoração evolui a solução legada em camadas (API .NET + CapturaServer + workers) sem reescrita. O roteamento por fonte é feito pelo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e o histórico de movimentações é mantido por inativação de registros (nunca por sobrescrita).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identifica processos pendentes de captura e publica na fila unificada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do RabbitMQ, com NUP e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 Migração da fila anterior (</w:t>
      </w:r>
      <w:r>
        <w:rPr>
          <w:rFonts w:ascii="Courier New" w:hAnsi="Courier New"/>
          <w:b w:val="0"/>
          <w:i w:val="0"/>
          <w:color w:val="333333"/>
          <w:sz w:val="20"/>
        </w:rPr>
        <w:t>EprocTjsp</w:t>
      </w:r>
      <w:r>
        <w:rPr>
          <w:rFonts w:ascii="Calibri" w:hAnsi="Calibri"/>
          <w:b w:val="0"/>
          <w:i w:val="0"/>
          <w:sz w:val="22"/>
        </w:rPr>
        <w:t>) para a fila única (decisão D02).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API AndamentosProcessuais (webhook multi-fonte):</w:t>
      </w:r>
      <w:r>
        <w:rPr>
          <w:rFonts w:ascii="Calibri" w:hAnsi="Calibri"/>
          <w:b w:val="0"/>
          <w:i w:val="0"/>
          <w:sz w:val="22"/>
        </w:rPr>
        <w:t xml:space="preserve"> recebe os dados de qualquer fonte (EPROC/ESAJ, DataJud/CNJ) sem campos fixos por tribunal (decisão D03), serializa para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 xml:space="preserve"> e indexa no Elasticsearch. Atualiza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(incl.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), gerencia o histórico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ProcessoCapturaMovimentacaoStatus</w:t>
      </w:r>
      <w:r>
        <w:rPr>
          <w:rFonts w:ascii="Calibri" w:hAnsi="Calibri"/>
          <w:b w:val="0"/>
          <w:i w:val="0"/>
          <w:sz w:val="22"/>
        </w:rPr>
        <w:t xml:space="preserve"> e o controle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). Após captura via CNJ, aciona a verificação e o desligamento do NUP nas APIs parceiras pela camada da API (decisão D05), via controladores específicos por parceira (decisão D06). 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foi desmembrado para priorizar os retornos por tipo de resultado (RF12).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); recebe status 3 em erro parcial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(erro),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(inativação + novo registro)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ITP-AASPAP01-001.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Fila unificada WorkerAndamentos (NUP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universal (consumida via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de captura do TJSP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tabelas de controle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de NUP após captura via CNJ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Primeiro entregável (D01, Dez/2025)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fluxo legado; webhook dedicado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específico para EPROC/ESAJ — viabiliza captura nativa TJSP sem regressão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do pipeline (D02, Fev/2026)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Migrar CapturaServer para a fila única WorkerAndamentos — unifica o pipeline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(D03,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webhook; parametrizar o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— evita duplicação e reduz manutenção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(D04,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Update no registro;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de registro (não update) — preserva histórico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Onde tratar parceiras (D05, Abr/2026)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 worker; na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 camada da API — worker agnóstico; controladores já existem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Parceiras heterogêneas (D06,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 genérico; por 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com interface comum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do segredo (D07, Mai/2026)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processo;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— um processo pode ser segredo só em uma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back-end/refatoração, sem interface de usuário. Conforme o registro do projeto,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 (fila WorkerAndamentos)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parametrizado (sem campos fixos por tribunal)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RF03, RF04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por inativação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RF05, RF06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(controladores por parceira)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RF07, RF08, RF09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códigos de status/resposta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 por tipo de retorno)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 com campos do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do TJSP fixos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(BUG-01)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dos campos CNJ ao modelo 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perda de histórico em update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por inativação de registro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parametrização do webhook e pelo histórico por inativação foi formalizada nas reuniões de alinhamento de 07/04/2026 e 08/05/2026.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refatorada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andamentos_ApisParceiras.jpg</w:t>
      </w:r>
      <w:r>
        <w:rPr>
          <w:rFonts w:ascii="Calibri" w:hAnsi="Calibri"/>
          <w:b w:val="0"/>
          <w:i w:val="0"/>
          <w:sz w:val="22"/>
        </w:rPr>
        <w:t xml:space="preserve"> — Integração com APIs parceiras (Solucionário/Botmax)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andamentos_historicoPreservado.jpeg</w:t>
      </w:r>
      <w:r>
        <w:rPr>
          <w:rFonts w:ascii="Calibri" w:hAnsi="Calibri"/>
          <w:b w:val="0"/>
          <w:i w:val="0"/>
          <w:sz w:val="22"/>
        </w:rPr>
        <w:t xml:space="preserve"> — Histórico de movimentações preservado por inativação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andamentos_historicoPreservado1.jpg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andamentos_historicoPreservado2.jpg</w:t>
      </w:r>
      <w:r>
        <w:rPr>
          <w:rFonts w:ascii="Calibri" w:hAnsi="Calibri"/>
          <w:b w:val="0"/>
          <w:i w:val="0"/>
          <w:sz w:val="22"/>
        </w:rPr>
        <w:t xml:space="preserve"> — Histórico preservado — detalhe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AASP_AndamentosProcessuais, do GEST-AASPAP01 e do GDE-AASPAP01-001.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Arquitetura da solução refatorada</w:t>
      </w:r>
    </w:p>
    <w:p>
      <w:r>
        <w:t>[anexo não-imagem: andamentos_arquitetura.svg — ver pasta evidencias/]</w:t>
      </w:r>
    </w:p>
    <w:p>
      <w:r>
        <w:t>Integração com APIs parceiras (Solucionário/Botmax)</w:t>
      </w:r>
    </w:p>
    <w:p>
      <w:r>
        <w:drawing>
          <wp:inline xmlns:a="http://schemas.openxmlformats.org/drawingml/2006/main" xmlns:pic="http://schemas.openxmlformats.org/drawingml/2006/picture">
            <wp:extent cx="5400000" cy="39230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ApisParceira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movimentações preservado por inativação</w:t>
      </w:r>
    </w:p>
    <w:p>
      <w:r>
        <w:drawing>
          <wp:inline xmlns:a="http://schemas.openxmlformats.org/drawingml/2006/main" xmlns:pic="http://schemas.openxmlformats.org/drawingml/2006/picture">
            <wp:extent cx="5400000" cy="4826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1</w:t>
      </w:r>
    </w:p>
    <w:p>
      <w:r>
        <w:drawing>
          <wp:inline xmlns:a="http://schemas.openxmlformats.org/drawingml/2006/main" xmlns:pic="http://schemas.openxmlformats.org/drawingml/2006/picture">
            <wp:extent cx="5400000" cy="8261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261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preservado — detalhe 2</w:t>
      </w:r>
    </w:p>
    <w:p>
      <w:r>
        <w:drawing>
          <wp:inline xmlns:a="http://schemas.openxmlformats.org/drawingml/2006/main" xmlns:pic="http://schemas.openxmlformats.org/drawingml/2006/picture">
            <wp:extent cx="5400000" cy="9891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amentos_historicoPreservado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913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PCP-AASPAP01-001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g"/><Relationship Id="rId14" Type="http://schemas.openxmlformats.org/officeDocument/2006/relationships/image" Target="media/image2.jpe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