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571de5bed2fba6db3cd4af73a7adb7a57ace93"/>
      <w:r>
        <w:t xml:space="preserve">Índice de Registros do Projeto — AASP Gerenciador · Grupos de Usuários</w:t>
      </w:r>
      <w:bookmarkEnd w:id="2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Documento</w:t>
            </w:r>
          </w:p>
        </w:tc>
        <w:tc>
          <w:p>
            <w:pPr>
              <w:pStyle w:val="Compact"/>
              <w:jc w:val="left"/>
            </w:pPr>
            <w:r>
              <w:t xml:space="preserve">INDICE-AASP01-001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</w:t>
            </w:r>
          </w:p>
        </w:tc>
        <w:tc>
          <w:p>
            <w:pPr>
              <w:pStyle w:val="Compact"/>
              <w:jc w:val="left"/>
            </w:pPr>
            <w:r>
              <w:t xml:space="preserve">Grupos de Usuários — AASP Gerenciador (Feature AG)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Código do projeto</w:t>
            </w:r>
          </w:p>
        </w:tc>
        <w:tc>
          <w:p>
            <w:pPr>
              <w:pStyle w:val="Compact"/>
              <w:jc w:val="left"/>
            </w:pPr>
            <w:r>
              <w:t xml:space="preserve">AASP01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Cliente</w:t>
            </w:r>
          </w:p>
        </w:tc>
        <w:tc>
          <w:p>
            <w:pPr>
              <w:pStyle w:val="Compact"/>
              <w:jc w:val="left"/>
            </w:pPr>
            <w:r>
              <w:t xml:space="preserve">AASP — Associação dos Advogados de São Paulo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Produto</w:t>
            </w:r>
          </w:p>
        </w:tc>
        <w:tc>
          <w:p>
            <w:pPr>
              <w:pStyle w:val="Compact"/>
              <w:jc w:val="left"/>
            </w:pPr>
            <w:r>
              <w:t xml:space="preserve">ms.auxo.usuarios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Versão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Natureza</w:t>
            </w:r>
          </w:p>
        </w:tc>
        <w:tc>
          <w:p>
            <w:pPr>
              <w:pStyle w:val="Compact"/>
              <w:jc w:val="left"/>
            </w:pPr>
            <w:r>
              <w:t xml:space="preserve">Documento de controle / índice — apoio interno. Organiza a produção das evidências do projeto; não é, ele próprio, evidência auditável pela ASR.</w:t>
            </w:r>
          </w:p>
        </w:tc>
      </w:tr>
    </w:tbl>
    <w:p>
      <w:pPr>
        <w:pStyle w:val="BlockText"/>
      </w:pPr>
      <w:r>
        <w:rPr>
          <w:b/>
        </w:rPr>
        <w:t xml:space="preserve">Como usar:</w:t>
      </w:r>
      <w:r>
        <w:t xml:space="preserve"> </w:t>
      </w:r>
      <w:r>
        <w:t xml:space="preserve">este índice mapeia os registros MPS-SW do projeto AASP01, o processo de origem e o status de cada um. Conforme cada artefato evolui, atualizar a coluna</w:t>
      </w:r>
      <w:r>
        <w:t xml:space="preserve"> </w:t>
      </w:r>
      <w:r>
        <w:rPr>
          <w:b/>
        </w:rPr>
        <w:t xml:space="preserve">Status</w:t>
      </w:r>
      <w:r>
        <w:t xml:space="preserve"> </w:t>
      </w:r>
      <w:r>
        <w:t xml:space="preserve">e registrar no histórico ao final.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contexto-e-momento-do-projeto"/>
      <w:r>
        <w:t xml:space="preserve">1. Contexto e momento do projeto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Início:</w:t>
      </w:r>
      <w:r>
        <w:t xml:space="preserve"> </w:t>
      </w:r>
      <w:r>
        <w:t xml:space="preserve">19/05/2026 (Kickoff) ·</w:t>
      </w:r>
      <w:r>
        <w:t xml:space="preserve"> </w:t>
      </w:r>
      <w:r>
        <w:rPr>
          <w:b/>
        </w:rPr>
        <w:t xml:space="preserve">Encerramento previsto:</w:t>
      </w:r>
      <w:r>
        <w:t xml:space="preserve"> </w:t>
      </w:r>
      <w:r>
        <w:t xml:space="preserve">11/07/2026.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Status atual (01/07/2026):</w:t>
      </w:r>
      <w:r>
        <w:t xml:space="preserve"> </w:t>
      </w:r>
      <w:r>
        <w:t xml:space="preserve">em execução — Sprints 1 e 2 concluídas e aceitas (06/06/2026 e 20/06/2026); Sprint 3 em andamento desde 23/06/2026.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Nível de adaptação:</w:t>
      </w:r>
      <w:r>
        <w:t xml:space="preserve"> </w:t>
      </w:r>
      <w:r>
        <w:t xml:space="preserve">2 — Padrão (ver ADAP-AASP01-001).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Fases do processo-padrão (PRO-GPC-001):</w:t>
      </w:r>
      <w:r>
        <w:t xml:space="preserve"> </w:t>
      </w:r>
      <w:r>
        <w:t xml:space="preserve">Abertura, Discovery/Requisitos, Concepção e Planejamento concluídas; Desenvolvimento em curso; Homologação e Encerramento previstos para a Sprint 3.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registros-do-projeto"/>
      <w:r>
        <w:t xml:space="preserve">2. Registros do projeto</w:t>
      </w:r>
      <w:bookmarkEnd w:id="22"/>
    </w:p>
    <w:p>
      <w:pPr>
        <w:pStyle w:val="FirstParagraph"/>
      </w:pPr>
      <w:r>
        <w:rPr>
          <w:b/>
        </w:rPr>
        <w:t xml:space="preserve">Legenda de status:</w:t>
      </w:r>
      <w:r>
        <w:t xml:space="preserve"> </w:t>
      </w:r>
      <w:r>
        <w:t xml:space="preserve">✅ gerado e no repositório · ⏳ previsto (encerramento).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Processo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TAP-AASP01-001</w:t>
            </w:r>
          </w:p>
        </w:tc>
        <w:tc>
          <w:p>
            <w:pPr>
              <w:pStyle w:val="Compact"/>
              <w:jc w:val="left"/>
            </w:pPr>
            <w:r>
              <w:t xml:space="preserve">Termo de Abertura</w:t>
            </w:r>
          </w:p>
        </w:tc>
        <w:tc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PLA-AASP01-001</w:t>
            </w:r>
          </w:p>
        </w:tc>
        <w:tc>
          <w:p>
            <w:pPr>
              <w:pStyle w:val="Compact"/>
              <w:jc w:val="left"/>
            </w:pPr>
            <w:r>
              <w:t xml:space="preserve">Plano de Projeto</w:t>
            </w:r>
          </w:p>
        </w:tc>
        <w:tc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ADAP-AASP01-001</w:t>
            </w:r>
          </w:p>
        </w:tc>
        <w:tc>
          <w:p>
            <w:pPr>
              <w:pStyle w:val="Compact"/>
              <w:jc w:val="left"/>
            </w:pPr>
            <w:r>
              <w:t xml:space="preserve">Registro de Adaptação</w:t>
            </w:r>
          </w:p>
        </w:tc>
        <w:tc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RAC-AASP01-001</w:t>
            </w:r>
          </w:p>
        </w:tc>
        <w:tc>
          <w:p>
            <w:pPr>
              <w:pStyle w:val="Compact"/>
              <w:jc w:val="left"/>
            </w:pPr>
            <w:r>
              <w:t xml:space="preserve">Relatório de Acompanhamento</w:t>
            </w:r>
          </w:p>
        </w:tc>
        <w:tc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CR-AASP01-001</w:t>
            </w:r>
          </w:p>
        </w:tc>
        <w:tc>
          <w:p>
            <w:pPr>
              <w:pStyle w:val="Compact"/>
              <w:jc w:val="left"/>
            </w:pPr>
            <w:r>
              <w:t xml:space="preserve">Registro de Change Requests</w:t>
            </w:r>
          </w:p>
        </w:tc>
        <w:tc>
          <w:p>
            <w:pPr>
              <w:pStyle w:val="Compact"/>
              <w:jc w:val="left"/>
            </w:pPr>
            <w:r>
              <w:t xml:space="preserve">GPR / GCO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REQ-AASP01-001</w:t>
            </w:r>
          </w:p>
        </w:tc>
        <w:tc>
          <w:p>
            <w:pPr>
              <w:pStyle w:val="Compact"/>
              <w:jc w:val="left"/>
            </w:pPr>
            <w:r>
              <w:t xml:space="preserve">Documento de Requisitos</w:t>
            </w:r>
          </w:p>
        </w:tc>
        <w:tc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RASTR-AASP01-001</w:t>
            </w:r>
          </w:p>
        </w:tc>
        <w:tc>
          <w:p>
            <w:pPr>
              <w:pStyle w:val="Compact"/>
              <w:jc w:val="left"/>
            </w:pPr>
            <w:r>
              <w:t xml:space="preserve">Matriz de Rastreabilidade</w:t>
            </w:r>
          </w:p>
        </w:tc>
        <w:tc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PCP-AASP01-001</w:t>
            </w:r>
          </w:p>
        </w:tc>
        <w:tc>
          <w:p>
            <w:pPr>
              <w:pStyle w:val="Compact"/>
              <w:jc w:val="left"/>
            </w:pPr>
            <w:r>
              <w:t xml:space="preserve">Documento de Design</w:t>
            </w:r>
          </w:p>
        </w:tc>
        <w:tc>
          <w:p>
            <w:pPr>
              <w:pStyle w:val="Compact"/>
              <w:jc w:val="left"/>
            </w:pPr>
            <w:r>
              <w:t xml:space="preserve">PCP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GDE-AASP01-001</w:t>
            </w:r>
          </w:p>
        </w:tc>
        <w:tc>
          <w:p>
            <w:pPr>
              <w:pStyle w:val="Compact"/>
              <w:jc w:val="left"/>
            </w:pPr>
            <w:r>
              <w:t xml:space="preserve">Registro de Análise de Decisão</w:t>
            </w:r>
          </w:p>
        </w:tc>
        <w:tc>
          <w:p>
            <w:pPr>
              <w:pStyle w:val="Compact"/>
              <w:jc w:val="left"/>
            </w:pPr>
            <w:r>
              <w:t xml:space="preserve">GDE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ITP-AASP01-001</w:t>
            </w:r>
          </w:p>
        </w:tc>
        <w:tc>
          <w:p>
            <w:pPr>
              <w:pStyle w:val="Compact"/>
              <w:jc w:val="left"/>
            </w:pPr>
            <w:r>
              <w:t xml:space="preserve">Estratégia de Integração</w:t>
            </w:r>
          </w:p>
        </w:tc>
        <w:tc>
          <w:p>
            <w:pPr>
              <w:pStyle w:val="Compact"/>
              <w:jc w:val="left"/>
            </w:pPr>
            <w:r>
              <w:t xml:space="preserve">ITP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VV-AASP01-001</w:t>
            </w:r>
          </w:p>
        </w:tc>
        <w:tc>
          <w:p>
            <w:pPr>
              <w:pStyle w:val="Compact"/>
              <w:jc w:val="left"/>
            </w:pPr>
            <w:r>
              <w:t xml:space="preserve">Plano de Verificação e Validação</w:t>
            </w:r>
          </w:p>
        </w:tc>
        <w:tc>
          <w:p>
            <w:pPr>
              <w:pStyle w:val="Compact"/>
              <w:jc w:val="left"/>
            </w:pPr>
            <w:r>
              <w:t xml:space="preserve">VV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CTQ-AASP01-001</w:t>
            </w:r>
          </w:p>
        </w:tc>
        <w:tc>
          <w:p>
            <w:pPr>
              <w:pStyle w:val="Compact"/>
              <w:jc w:val="left"/>
            </w:pPr>
            <w:r>
              <w:t xml:space="preserve">Cenários de Teste e Homologação</w:t>
            </w:r>
          </w:p>
        </w:tc>
        <w:tc>
          <w:p>
            <w:pPr>
              <w:pStyle w:val="Compact"/>
              <w:jc w:val="left"/>
            </w:pPr>
            <w:r>
              <w:t xml:space="preserve">VV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REL-VV-AASP01-001</w:t>
            </w:r>
          </w:p>
        </w:tc>
        <w:tc>
          <w:p>
            <w:pPr>
              <w:pStyle w:val="Compact"/>
              <w:jc w:val="left"/>
            </w:pPr>
            <w:r>
              <w:t xml:space="preserve">Relatório de Execução de Testes</w:t>
            </w:r>
          </w:p>
        </w:tc>
        <w:tc>
          <w:p>
            <w:pPr>
              <w:pStyle w:val="Compact"/>
              <w:jc w:val="left"/>
            </w:pPr>
            <w:r>
              <w:t xml:space="preserve">VV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REV-AASP01-001</w:t>
            </w:r>
          </w:p>
        </w:tc>
        <w:tc>
          <w:p>
            <w:pPr>
              <w:pStyle w:val="Compact"/>
              <w:jc w:val="left"/>
            </w:pPr>
            <w:r>
              <w:t xml:space="preserve">Registro de Revisão Técnica</w:t>
            </w:r>
          </w:p>
        </w:tc>
        <w:tc>
          <w:p>
            <w:pPr>
              <w:pStyle w:val="Compact"/>
              <w:jc w:val="left"/>
            </w:pPr>
            <w:r>
              <w:t xml:space="preserve">VV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GCO-AASP01-001</w:t>
            </w:r>
          </w:p>
        </w:tc>
        <w:tc>
          <w:p>
            <w:pPr>
              <w:pStyle w:val="Compact"/>
              <w:jc w:val="left"/>
            </w:pPr>
            <w:r>
              <w:t xml:space="preserve">Registro de Gerência de Configuração</w:t>
            </w:r>
          </w:p>
        </w:tc>
        <w:tc>
          <w:p>
            <w:pPr>
              <w:pStyle w:val="Compact"/>
              <w:jc w:val="left"/>
            </w:pPr>
            <w:r>
              <w:t xml:space="preserve">GCO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MED-AASP01-001</w:t>
            </w:r>
          </w:p>
        </w:tc>
        <w:tc>
          <w:p>
            <w:pPr>
              <w:pStyle w:val="Compact"/>
              <w:jc w:val="left"/>
            </w:pPr>
            <w:r>
              <w:t xml:space="preserve">Registro de Medição</w:t>
            </w:r>
          </w:p>
        </w:tc>
        <w:tc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CAP-AASP01-001</w:t>
            </w:r>
          </w:p>
        </w:tc>
        <w:tc>
          <w:p>
            <w:pPr>
              <w:pStyle w:val="Compact"/>
              <w:jc w:val="left"/>
            </w:pPr>
            <w:r>
              <w:t xml:space="preserve">Registro de Capacitação da Equipe</w:t>
            </w:r>
          </w:p>
        </w:tc>
        <w:tc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GQA-AASP01-001</w:t>
            </w:r>
          </w:p>
        </w:tc>
        <w:tc>
          <w:p>
            <w:pPr>
              <w:pStyle w:val="Compact"/>
              <w:jc w:val="left"/>
            </w:pPr>
            <w:r>
              <w:t xml:space="preserve">Registro de Verificação de GQA</w:t>
            </w:r>
          </w:p>
        </w:tc>
        <w:tc>
          <w:p>
            <w:pPr>
              <w:pStyle w:val="Compact"/>
              <w:jc w:val="left"/>
            </w:pPr>
            <w:r>
              <w:t xml:space="preserve">GQA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GEST-AASP01</w:t>
            </w:r>
          </w:p>
        </w:tc>
        <w:tc>
          <w:p>
            <w:pPr>
              <w:pStyle w:val="Compact"/>
              <w:jc w:val="left"/>
            </w:pPr>
            <w:r>
              <w:t xml:space="preserve">Planilha de Gestão do Projeto (xlsx)</w:t>
            </w:r>
          </w:p>
        </w:tc>
        <w:tc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ATA-AASP01-001</w:t>
            </w:r>
          </w:p>
        </w:tc>
        <w:tc>
          <w:p>
            <w:pPr>
              <w:pStyle w:val="Compact"/>
              <w:jc w:val="left"/>
            </w:pPr>
            <w:r>
              <w:t xml:space="preserve">Ata de Kickoff (19/05/2026)</w:t>
            </w:r>
          </w:p>
        </w:tc>
        <w:tc>
          <w:p>
            <w:pPr>
              <w:pStyle w:val="Compact"/>
              <w:jc w:val="left"/>
            </w:pPr>
            <w:r>
              <w:t xml:space="preserve">ORG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ATA-AASP01-002</w:t>
            </w:r>
          </w:p>
        </w:tc>
        <w:tc>
          <w:p>
            <w:pPr>
              <w:pStyle w:val="Compact"/>
              <w:jc w:val="left"/>
            </w:pPr>
            <w:r>
              <w:t xml:space="preserve">Ata de Aceite — Sprint 1 (06/06/2026)</w:t>
            </w:r>
          </w:p>
        </w:tc>
        <w:tc>
          <w:p>
            <w:pPr>
              <w:pStyle w:val="Compact"/>
              <w:jc w:val="left"/>
            </w:pPr>
            <w:r>
              <w:t xml:space="preserve">ORG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TAE-AASP01-001</w:t>
            </w:r>
          </w:p>
        </w:tc>
        <w:tc>
          <w:p>
            <w:pPr>
              <w:pStyle w:val="Compact"/>
              <w:jc w:val="left"/>
            </w:pPr>
            <w:r>
              <w:t xml:space="preserve">Termo de Encerramento e Aceite</w:t>
            </w:r>
          </w:p>
        </w:tc>
        <w:tc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p>
            <w:pPr>
              <w:pStyle w:val="Compact"/>
              <w:jc w:val="left"/>
            </w:pPr>
            <w:r>
              <w:t xml:space="preserve">⏳ Sprint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LI-AASP01-001</w:t>
            </w:r>
          </w:p>
        </w:tc>
        <w:tc>
          <w:p>
            <w:pPr>
              <w:pStyle w:val="Compact"/>
              <w:jc w:val="left"/>
            </w:pPr>
            <w:r>
              <w:t xml:space="preserve">Lições Aprendidas</w:t>
            </w:r>
          </w:p>
        </w:tc>
        <w:tc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p>
            <w:pPr>
              <w:pStyle w:val="Compact"/>
              <w:jc w:val="left"/>
            </w:pPr>
            <w:r>
              <w:t xml:space="preserve">⏳ Sprint 3</w:t>
            </w:r>
          </w:p>
        </w:tc>
      </w:tr>
    </w:tbl>
    <w:p>
      <w:pPr>
        <w:pStyle w:val="BlockText"/>
      </w:pPr>
      <w:r>
        <w:rPr>
          <w:b/>
        </w:rPr>
        <w:t xml:space="preserve">Aquisição (AQU):</w:t>
      </w:r>
      <w:r>
        <w:t xml:space="preserve"> </w:t>
      </w:r>
      <w:r>
        <w:t xml:space="preserve">não aplicável — não houve subcontratação de desenvolvimento (equipe própria Timeware). Insumos de serviço (APIs e ambientes do cliente) são tratados em ITP-AASP01-001 e nos riscos do PLA-AASP01-001.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observações-de-classificação"/>
      <w:r>
        <w:t xml:space="preserve">3. Observações de classificação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Formato:</w:t>
      </w:r>
      <w:r>
        <w:t xml:space="preserve"> </w:t>
      </w:r>
      <w:r>
        <w:t xml:space="preserve">registros produzidos em Markdown (</w:t>
      </w:r>
      <w:r>
        <w:rPr>
          <w:rStyle w:val="VerbatimChar"/>
        </w:rPr>
        <w:t xml:space="preserve">.md</w:t>
      </w:r>
      <w:r>
        <w:t xml:space="preserve">) e convertidos para Word (</w:t>
      </w:r>
      <w:r>
        <w:rPr>
          <w:rStyle w:val="VerbatimChar"/>
        </w:rPr>
        <w:t xml:space="preserve">.docx</w:t>
      </w:r>
      <w:r>
        <w:t xml:space="preserve">); planilha de gestão em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Nomes reais nos registros:</w:t>
      </w:r>
      <w:r>
        <w:t xml:space="preserve"> </w:t>
      </w:r>
      <w:r>
        <w:t xml:space="preserve">os registros de identificação e de capacidade (TAP, PLA, ATAs, GQA, CAP) nominam a equipe real, conforme a camada de capacidade do modelo.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histórico-de-revisões"/>
      <w:r>
        <w:t xml:space="preserve">Histórico de Revisões</w:t>
      </w:r>
      <w:bookmarkEnd w:id="2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15/06/2026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</w:t>
            </w:r>
          </w:p>
        </w:tc>
        <w:tc>
          <w:p>
            <w:pPr>
              <w:pStyle w:val="Compact"/>
              <w:jc w:val="left"/>
            </w:pPr>
            <w:r>
              <w:t xml:space="preserve">Criação do índice de registros do projeto AASP01 (Sprint 2 em andamento)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24/06/2026</w:t>
            </w:r>
          </w:p>
        </w:tc>
        <w:tc>
          <w:p>
            <w:pPr>
              <w:pStyle w:val="Compact"/>
              <w:jc w:val="left"/>
            </w:pPr>
            <w:r>
              <w:t xml:space="preserve">Silvio Baroni (SEPG)</w:t>
            </w:r>
          </w:p>
        </w:tc>
        <w:tc>
          <w:p>
            <w:pPr>
              <w:pStyle w:val="Compact"/>
              <w:jc w:val="left"/>
            </w:pPr>
            <w:r>
              <w:t xml:space="preserve">Reconciliação com o estado real do GitLab (produto/repositório ms.auxo.usuarios; framework net5.0 onde aplicável; entregas da Sprint 1 integradas em develop com baseline pela tag sprint-1-aceite)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2026-07-01T12:41:47Z</dcterms:created>
  <dcterms:modified xsi:type="dcterms:W3CDTF">2026-07-01T12:41:47Z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