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b44f77ad08d0cda2694885c504900cb8919c72"/>
      <w:r>
        <w:t xml:space="preserve">Ata de Aceite — Sprint 1 — AASP Gerenciador · Grupos de Usuários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ATA-AASP01-002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Grupos de Usuários — AASP Gerenciador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Reunião</w:t>
            </w:r>
          </w:p>
        </w:tc>
        <w:tc>
          <w:p>
            <w:pPr>
              <w:pStyle w:val="Compact"/>
              <w:jc w:val="left"/>
            </w:pPr>
            <w:r>
              <w:t xml:space="preserve">Sprint Review + Aceite Formal — Sprint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06/06/2026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Horário</w:t>
            </w:r>
          </w:p>
        </w:tc>
        <w:tc>
          <w:p>
            <w:pPr>
              <w:pStyle w:val="Compact"/>
              <w:jc w:val="left"/>
            </w:pPr>
            <w:r>
              <w:t xml:space="preserve">14h00 – 15h30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Canal</w:t>
            </w:r>
          </w:p>
        </w:tc>
        <w:tc>
          <w:p>
            <w:pPr>
              <w:pStyle w:val="Compact"/>
              <w:jc w:val="left"/>
            </w:pPr>
            <w:r>
              <w:t xml:space="preserve">Microsoft Teams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Facilitador</w:t>
            </w:r>
          </w:p>
        </w:tc>
        <w:tc>
          <w:p>
            <w:pPr>
              <w:pStyle w:val="Compact"/>
              <w:jc w:val="left"/>
            </w:pPr>
            <w:r>
              <w:t xml:space="preserve">Abraão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MPS-SW</w:t>
            </w:r>
          </w:p>
        </w:tc>
        <w:tc>
          <w:p>
            <w:pPr>
              <w:pStyle w:val="Compact"/>
              <w:jc w:val="left"/>
            </w:pPr>
            <w:r>
              <w:t xml:space="preserve">VV / GPR (evidência de validação formal e aceite de fase)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rticipantes"/>
      <w:r>
        <w:t xml:space="preserve">1. Participantes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Abraão · Cezar Hiraki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GP (Abraão) · Arquiteto/Tech Lead (Cezar) · Facilitador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Renan Kiyoshi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Desenvolvedor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Henry Komatsu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Desenvolvedor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Mateus Veloso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Desenvolvedor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Marcos Turnes</w:t>
            </w:r>
          </w:p>
        </w:tc>
        <w:tc>
          <w:p>
            <w:pPr>
              <w:pStyle w:val="Compact"/>
              <w:jc w:val="left"/>
            </w:pPr>
            <w:r>
              <w:t xml:space="preserve">AASP</w:t>
            </w:r>
          </w:p>
        </w:tc>
        <w:tc>
          <w:p>
            <w:pPr>
              <w:pStyle w:val="Compact"/>
              <w:jc w:val="left"/>
            </w:pPr>
            <w:r>
              <w:t xml:space="preserve">Product Owner / Representante do Cliente / Aprovador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Leonardo Francisco Pereira</w:t>
            </w:r>
          </w:p>
        </w:tc>
        <w:tc>
          <w:p>
            <w:pPr>
              <w:pStyle w:val="Compact"/>
              <w:jc w:val="left"/>
            </w:pPr>
            <w:r>
              <w:t xml:space="preserve">AASP</w:t>
            </w:r>
          </w:p>
        </w:tc>
        <w:tc>
          <w:p>
            <w:pPr>
              <w:pStyle w:val="Compact"/>
              <w:jc w:val="left"/>
            </w:pPr>
            <w:r>
              <w:t xml:space="preserve">QA / Homologador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bjetivo-da-reunião"/>
      <w:r>
        <w:t xml:space="preserve">2. Objetivo da Reunião</w:t>
      </w:r>
      <w:bookmarkEnd w:id="22"/>
    </w:p>
    <w:p>
      <w:pPr>
        <w:pStyle w:val="FirstParagraph"/>
      </w:pPr>
      <w:r>
        <w:t xml:space="preserve">Apresentar os entregáveis da Sprint 1 (AG-20, AG-21, AG-22) ao cliente AASP, demonstrar o funcionamento dos endpoints via Swagger UI, apresentar os resultados dos testes de homologação executados por Leonardo Francisco Pereira e obter o aceite formal de Marcos Turnes (AASP, PO), encerrando oficialmente a Sprint 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tens-apresentados"/>
      <w:r>
        <w:t xml:space="preserve">3. Itens Apresentados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Requisitos Cobertos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Endpoints Demonstrados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dos Testes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 do Aceite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AG-20</w:t>
            </w:r>
            <w:r>
              <w:t xml:space="preserve"> </w:t>
            </w:r>
            <w:r>
              <w:t xml:space="preserve">— CRUD de Grupos</w:t>
            </w:r>
          </w:p>
        </w:tc>
        <w:tc>
          <w:p>
            <w:pPr>
              <w:pStyle w:val="Compact"/>
              <w:jc w:val="left"/>
            </w:pPr>
            <w:r>
              <w:t xml:space="preserve">RF-01 a RF-04</w:t>
            </w:r>
          </w:p>
        </w:tc>
        <w:tc>
          <w:p>
            <w:pPr>
              <w:pStyle w:val="Compact"/>
              <w:jc w:val="left"/>
            </w:pPr>
            <w:r>
              <w:t xml:space="preserve">incluirgrupo (criação com validação de nome único); listargrupo (listagem paginada); buscargrupoporid (usuários do grupo); alterargrupo (alteração); excluirgrupo (soft delete — campo excluido=1); ativardesativar (ativa/desativa)</w:t>
            </w:r>
          </w:p>
        </w:tc>
        <w:tc>
          <w:p>
            <w:pPr>
              <w:pStyle w:val="Compact"/>
              <w:jc w:val="left"/>
            </w:pPr>
            <w:r>
              <w:t xml:space="preserve">7 cenários: GRP-01 a GRP-07 — todos OK (100%)</w:t>
            </w:r>
          </w:p>
        </w:tc>
        <w:tc>
          <w:p>
            <w:pPr>
              <w:pStyle w:val="Compact"/>
              <w:jc w:val="left"/>
            </w:pPr>
            <w:r>
              <w:t xml:space="preserve">Aprovado por Marcos Turnes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AG-21</w:t>
            </w:r>
            <w:r>
              <w:t xml:space="preserve"> </w:t>
            </w:r>
            <w:r>
              <w:t xml:space="preserve">— Função do Usuário no Grupo</w:t>
            </w:r>
          </w:p>
        </w:tc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alterarfuncaodousuario (função: Usuario/Administrador)</w:t>
            </w:r>
          </w:p>
        </w:tc>
        <w:tc>
          <w:p>
            <w:pPr>
              <w:pStyle w:val="Compact"/>
              <w:jc w:val="left"/>
            </w:pPr>
            <w:r>
              <w:t xml:space="preserve">1 cenário: FUNC-01 — OK (100%)</w:t>
            </w:r>
          </w:p>
        </w:tc>
        <w:tc>
          <w:p>
            <w:pPr>
              <w:pStyle w:val="Compact"/>
              <w:jc w:val="left"/>
            </w:pPr>
            <w:r>
              <w:t xml:space="preserve">Aprovado por Marcos Turnes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AG-22</w:t>
            </w:r>
            <w:r>
              <w:t xml:space="preserve"> </w:t>
            </w:r>
            <w:r>
              <w:t xml:space="preserve">— Vínculo Usuário-Grupo</w:t>
            </w:r>
          </w:p>
        </w:tc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vínculo de usuários via GrupoDeUsuarios em incluirgrupo/alterargrupo; removerusuario (soft delete do vínculo)</w:t>
            </w:r>
          </w:p>
        </w:tc>
        <w:tc>
          <w:p>
            <w:pPr>
              <w:pStyle w:val="Compact"/>
              <w:jc w:val="left"/>
            </w:pPr>
            <w:r>
              <w:t xml:space="preserve">2 cenários: VINC-01, VINC-02 — todos OK (100%)</w:t>
            </w:r>
          </w:p>
        </w:tc>
        <w:tc>
          <w:p>
            <w:pPr>
              <w:pStyle w:val="Compact"/>
              <w:jc w:val="left"/>
            </w:pPr>
            <w:r>
              <w:t xml:space="preserve">Aprovado por Marcos Turnes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emonstração-técnica"/>
      <w:r>
        <w:t xml:space="preserve">4. Demonstração Técnica</w:t>
      </w:r>
      <w:bookmarkEnd w:id="24"/>
    </w:p>
    <w:p>
      <w:pPr>
        <w:pStyle w:val="FirstParagraph"/>
      </w:pPr>
      <w:r>
        <w:t xml:space="preserve">Cezar Hiraki demonstrou todos os endpoints via</w:t>
      </w:r>
      <w:r>
        <w:t xml:space="preserve"> </w:t>
      </w:r>
      <w:r>
        <w:rPr>
          <w:b/>
        </w:rPr>
        <w:t xml:space="preserve">Swagger UI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http://localhost:5000/swagger</w:t>
      </w:r>
      <w:r>
        <w:t xml:space="preserve">) com banco</w:t>
      </w:r>
      <w:r>
        <w:t xml:space="preserve"> </w:t>
      </w:r>
      <w:r>
        <w:rPr>
          <w:rStyle w:val="VerbatimChar"/>
        </w:rPr>
        <w:t xml:space="preserve">auxo3</w:t>
      </w:r>
      <w:r>
        <w:t xml:space="preserve"> </w:t>
      </w:r>
      <w:r>
        <w:t xml:space="preserve">de homologação, cobrindo os fluxos happy path e sad path de cada história. As validações de negócio (nome único de grupo e função do usuário) foram demonstradas em tempo real com payloads de teste preparados previamente.</w:t>
      </w:r>
    </w:p>
    <w:p>
      <w:pPr>
        <w:pStyle w:val="BodyText"/>
      </w:pPr>
      <w:r>
        <w:t xml:space="preserve">Renan Kiyoshi demonstrou os</w:t>
      </w:r>
      <w:r>
        <w:t xml:space="preserve"> </w:t>
      </w:r>
      <w:r>
        <w:rPr>
          <w:b/>
        </w:rPr>
        <w:t xml:space="preserve">scripts de migration</w:t>
      </w:r>
      <w:r>
        <w:t xml:space="preserve"> </w:t>
      </w:r>
      <w:r>
        <w:t xml:space="preserve">do banco de dados (estrutura das tabelas grupos_usuarios, grupos_usuarios_vinculos e grupos_usuarios_funcao) e a organização do repositório no GitLab, incluindo as branches de feature, MRs aprovados e histórico de commits por história.</w:t>
      </w:r>
    </w:p>
    <w:p>
      <w:pPr>
        <w:pStyle w:val="BodyText"/>
      </w:pPr>
      <w:r>
        <w:t xml:space="preserve">Leonardo Francisco Pereira confirmou que todos os</w:t>
      </w:r>
      <w:r>
        <w:t xml:space="preserve"> </w:t>
      </w:r>
      <w:r>
        <w:rPr>
          <w:b/>
        </w:rPr>
        <w:t xml:space="preserve">10 cenários de aceite</w:t>
      </w:r>
      <w:r>
        <w:t xml:space="preserve"> </w:t>
      </w:r>
      <w:r>
        <w:t xml:space="preserve">(GRP-01 a GRP-07, FUNC-01, VINC-01 e VINC-02) foram executados por ele no ambiente de homologação AASP em 06/06/2026 e aprovados sem ressalvas, conforme evidências registradas no CTQ-AASP01-001.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a7429cce855db943d7aebdafb813443ec545a6"/>
      <w:r>
        <w:t xml:space="preserve">5. Resultados dos Testes de Homologação — Sprint 1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Teste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Testes unitários</w:t>
            </w:r>
          </w:p>
        </w:tc>
        <w:tc>
          <w:p>
            <w:pPr>
              <w:pStyle w:val="Compact"/>
              <w:jc w:val="left"/>
            </w:pPr>
            <w:r>
              <w:t xml:space="preserve">22 métodos</w:t>
            </w:r>
          </w:p>
        </w:tc>
        <w:tc>
          <w:p>
            <w:pPr>
              <w:pStyle w:val="Compact"/>
              <w:jc w:val="left"/>
            </w:pPr>
            <w:r>
              <w:t xml:space="preserve">100% passando; cobertura 68.4% de linha (meta: ≥ 60% — atingida)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Testes de integração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aceite (CTQ)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10/10 (100%) aprovados por Leonardo Francisco Pereira em 06/06/2026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Achados code review (REV)</w:t>
            </w:r>
          </w:p>
        </w:tc>
        <w:tc>
          <w:p>
            <w:pPr>
              <w:pStyle w:val="Compact"/>
              <w:jc w:val="left"/>
            </w:pPr>
            <w:r>
              <w:t xml:space="preserve">5 (P2: 3; P3: 2)</w:t>
            </w:r>
          </w:p>
        </w:tc>
        <w:tc>
          <w:p>
            <w:pPr>
              <w:pStyle w:val="Compact"/>
              <w:jc w:val="left"/>
            </w:pPr>
            <w:r>
              <w:t xml:space="preserve">Todos resolvidos antes do merge — nenhum defeito aberto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ontos-levantados-pelo-cliente"/>
      <w:r>
        <w:t xml:space="preserve">6. Pontos Levantados pelo Cliente</w:t>
      </w:r>
      <w:bookmarkEnd w:id="26"/>
    </w:p>
    <w:p>
      <w:pPr>
        <w:numPr>
          <w:ilvl w:val="0"/>
          <w:numId w:val="1001"/>
        </w:numPr>
      </w:pPr>
      <w:r>
        <w:rPr>
          <w:b/>
        </w:rPr>
        <w:t xml:space="preserve">Marcos Turnes (AASP — PO):</w:t>
      </w:r>
      <w:r>
        <w:t xml:space="preserve"> </w:t>
      </w:r>
      <w:r>
        <w:t xml:space="preserve">Confirmou que os endpoints atendem ao que foi especificado no REQ-AASP01-001. Nenhuma ressalva técnica ou de negócio foi identificada. Solicitou que a Sprint Review da Sprint 2 seja realizada em 20/06/2026 no mesmo horário (14h00, Teams).</w:t>
      </w:r>
    </w:p>
    <w:p>
      <w:pPr>
        <w:numPr>
          <w:ilvl w:val="0"/>
          <w:numId w:val="1001"/>
        </w:numPr>
      </w:pPr>
      <w:r>
        <w:rPr>
          <w:b/>
        </w:rPr>
        <w:t xml:space="preserve">Leonardo Francisco Pereira (AASP — QA):</w:t>
      </w:r>
      <w:r>
        <w:t xml:space="preserve"> </w:t>
      </w:r>
      <w:r>
        <w:t xml:space="preserve">Validou todos os 10 cenários de aceite no ambiente de homologação AASP. Solicitou que o ambiente de homologação para a Sprint 2 seja preparado pela equipe Timeware até 11/06/2026, incluindo os scripts de migration das novas tabelas (AuditoriaGrupos).</w:t>
      </w:r>
    </w:p>
    <w:p>
      <w:pPr>
        <w:numPr>
          <w:ilvl w:val="0"/>
          <w:numId w:val="1001"/>
        </w:numPr>
      </w:pPr>
      <w:r>
        <w:rPr>
          <w:b/>
        </w:rPr>
        <w:t xml:space="preserve">Abraão (Timeware — GP):</w:t>
      </w:r>
      <w:r>
        <w:t xml:space="preserve"> </w:t>
      </w:r>
      <w:r>
        <w:t xml:space="preserve">Informou que a Sprint 2 inicia em 09/06/2026 com as histórias AG-23 (Auditoria de Grupos) e AG-24 (Integração com ms.temis.vinculos). Confirmou que o ambiente de homologação será preparado até 11/06/2026 conforme solicitado por Leonardo Francisco Pereira.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ceite-formal"/>
      <w:r>
        <w:t xml:space="preserve">7. Aceite Formal</w:t>
      </w:r>
      <w:bookmarkEnd w:id="27"/>
    </w:p>
    <w:p>
      <w:pPr>
        <w:pStyle w:val="FirstParagraph"/>
      </w:pPr>
      <w:r>
        <w:rPr>
          <w:b/>
        </w:rPr>
        <w:t xml:space="preserve">Marcos Turnes (AASP) concedeu aceite formal da Sprint 1 SEM RESSALVAS em 06/06/2026.</w:t>
      </w:r>
    </w:p>
    <w:p>
      <w:pPr>
        <w:pStyle w:val="BodyText"/>
      </w:pPr>
      <w:r>
        <w:t xml:space="preserve">A Sprint 1 é considerada oficialmente encerrada e entregue. Todas as histórias (AG-20, AG-21, AG-22) estão em status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e os entregáveis foram aceitos pelo representante do cliente.</w:t>
      </w:r>
    </w:p>
    <w:p>
      <w:pPr>
        <w:pStyle w:val="BodyText"/>
      </w:pPr>
      <w:r>
        <w:rPr>
          <w:b/>
        </w:rPr>
        <w:t xml:space="preserve">Declaração de aceite (registrada em reunião via Microsoft Teams em 06/06/2026):</w:t>
      </w:r>
    </w:p>
    <w:p>
      <w:pPr>
        <w:pStyle w:val="BlockText"/>
      </w:pPr>
      <w:r>
        <w:t xml:space="preserve">“</w:t>
      </w:r>
      <w:r>
        <w:t xml:space="preserve">Confirmo o aceite formal dos entregáveis da Sprint 1 (AG-20, AG-21 e AG-22) do projeto Grupos de Usuários — AASP Gerenciador. Os endpoints foram demonstrados e validados conforme os critérios de aceite definidos. Nenhuma ressalva ou pendência identificada.</w:t>
      </w:r>
      <w:r>
        <w:t xml:space="preserve">”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</w:rPr>
        <w:t xml:space="preserve">Marcos Turnes</w:t>
      </w:r>
      <w:r>
        <w:t xml:space="preserve">, AASP, 06/06/2026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róximos-passos"/>
      <w:r>
        <w:t xml:space="preserve">8. Próximos Passos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Iniciar Sprint 2 — AG-23 (Auditoria) + AG-24 (Integração ms.temis.vinculos)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 e Mateus Veloso</w:t>
            </w:r>
          </w:p>
        </w:tc>
        <w:tc>
          <w:p>
            <w:pPr>
              <w:pStyle w:val="Compact"/>
              <w:jc w:val="left"/>
            </w:pPr>
            <w:r>
              <w:t xml:space="preserve">09/06/2026</w:t>
            </w:r>
          </w:p>
        </w:tc>
        <w:tc>
          <w:p>
            <w:pPr>
              <w:pStyle w:val="Compact"/>
              <w:jc w:val="left"/>
            </w:pPr>
            <w:r>
              <w:t xml:space="preserve">✅ Cumprida — Sprint 2 iniciada em 09/06/2026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Preparar ambiente de homologação AASP para Sprint 2 (migrations AuditoriaGrupos)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 e Mateus Veloso</w:t>
            </w:r>
          </w:p>
        </w:tc>
        <w:tc>
          <w:p>
            <w:pPr>
              <w:pStyle w:val="Compact"/>
              <w:jc w:val="left"/>
            </w:pPr>
            <w:r>
              <w:t xml:space="preserve">11/06/2026</w:t>
            </w:r>
          </w:p>
        </w:tc>
        <w:tc>
          <w:p>
            <w:pPr>
              <w:pStyle w:val="Compact"/>
              <w:jc w:val="left"/>
            </w:pPr>
            <w:r>
              <w:t xml:space="preserve">✅ Cumprida — migrations aplicadas no início da Sprint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Confirmar ambiente de homologação Sprint 2 recebido e validado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(AASP)</w:t>
            </w:r>
          </w:p>
        </w:tc>
        <w:tc>
          <w:p>
            <w:pPr>
              <w:pStyle w:val="Compact"/>
              <w:jc w:val="left"/>
            </w:pPr>
            <w:r>
              <w:t xml:space="preserve">11/06/2026</w:t>
            </w:r>
          </w:p>
        </w:tc>
        <w:tc>
          <w:p>
            <w:pPr>
              <w:pStyle w:val="Compact"/>
              <w:jc w:val="left"/>
            </w:pPr>
            <w:r>
              <w:t xml:space="preserve">✅ Cumprida — ambiente validado conforme UAT Sprint 2 executado em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Atualizar GEST-AASP01, RAC-AASP01-001 e MED-AASP01-001 com resultados finais Sprint 1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  <w:tc>
          <w:p>
            <w:pPr>
              <w:pStyle w:val="Compact"/>
              <w:jc w:val="left"/>
            </w:pPr>
            <w:r>
              <w:t xml:space="preserve">09/06/2026</w:t>
            </w:r>
          </w:p>
        </w:tc>
        <w:tc>
          <w:p>
            <w:pPr>
              <w:pStyle w:val="Compact"/>
              <w:jc w:val="left"/>
            </w:pPr>
            <w:r>
              <w:t xml:space="preserve">✅ Cumprida — documentos atualizados com métricas reais da Sprint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Review Sprint</w:t>
            </w:r>
          </w:p>
        </w:tc>
        <w:tc>
          <w:p/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2026-07-01T12:41:47Z</dcterms:created>
  <dcterms:modified xsi:type="dcterms:W3CDTF">2026-07-01T12:41:47Z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