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ebf262678c64a018459135b4ce8d523947c747"/>
      <w:r>
        <w:t xml:space="preserve">Ata de Aceite — Sprint 2 — AASP Gerenciador · Grupos de Usuários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Documento</w:t>
            </w:r>
          </w:p>
        </w:tc>
        <w:tc>
          <w:p>
            <w:pPr>
              <w:pStyle w:val="Compact"/>
              <w:jc w:val="left"/>
            </w:pPr>
            <w:r>
              <w:t xml:space="preserve">ATA-AASP01-003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Projeto</w:t>
            </w:r>
          </w:p>
        </w:tc>
        <w:tc>
          <w:p>
            <w:pPr>
              <w:pStyle w:val="Compact"/>
              <w:jc w:val="left"/>
            </w:pPr>
            <w:r>
              <w:t xml:space="preserve">Grupos de Usuários — AASP Gerenciador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Reunião</w:t>
            </w:r>
          </w:p>
        </w:tc>
        <w:tc>
          <w:p>
            <w:pPr>
              <w:pStyle w:val="Compact"/>
              <w:jc w:val="left"/>
            </w:pPr>
            <w:r>
              <w:t xml:space="preserve">Sprint Review + Aceite Formal — Sprint 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Data</w:t>
            </w:r>
          </w:p>
        </w:tc>
        <w:tc>
          <w:p>
            <w:pPr>
              <w:pStyle w:val="Compact"/>
              <w:jc w:val="left"/>
            </w:pPr>
            <w:r>
              <w:t xml:space="preserve">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Horário</w:t>
            </w:r>
          </w:p>
        </w:tc>
        <w:tc>
          <w:p>
            <w:pPr>
              <w:pStyle w:val="Compact"/>
              <w:jc w:val="left"/>
            </w:pPr>
            <w:r>
              <w:t xml:space="preserve">14h00 – 15h20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Canal</w:t>
            </w:r>
          </w:p>
        </w:tc>
        <w:tc>
          <w:p>
            <w:pPr>
              <w:pStyle w:val="Compact"/>
              <w:jc w:val="left"/>
            </w:pPr>
            <w:r>
              <w:t xml:space="preserve">Microsoft Teams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Facilitador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 (Timeware)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Cliente</w:t>
            </w:r>
          </w:p>
        </w:tc>
        <w:tc>
          <w:p>
            <w:pPr>
              <w:pStyle w:val="Compact"/>
              <w:jc w:val="left"/>
            </w:pPr>
            <w:r>
              <w:t xml:space="preserve">AASP — Associação dos Advogados de São Paulo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Versão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Processo MPS-SW</w:t>
            </w:r>
          </w:p>
        </w:tc>
        <w:tc>
          <w:p>
            <w:pPr>
              <w:pStyle w:val="Compact"/>
              <w:jc w:val="left"/>
            </w:pPr>
            <w:r>
              <w:t xml:space="preserve">VV / GPR (evidência de validação formal e aceite de fase)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articipantes"/>
      <w:r>
        <w:t xml:space="preserve">1. Participantes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Empresa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Gerente de Projeto · Facilitador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Cezar Hiraki Velázquez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Arquiteto / Tech Lead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Renan Kiyoshi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Desenvolvedor (AG-23)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Mateus Veloso</w:t>
            </w:r>
          </w:p>
        </w:tc>
        <w:tc>
          <w:p>
            <w:pPr>
              <w:pStyle w:val="Compact"/>
              <w:jc w:val="left"/>
            </w:pPr>
            <w:r>
              <w:t xml:space="preserve">Timeware</w:t>
            </w:r>
          </w:p>
        </w:tc>
        <w:tc>
          <w:p>
            <w:pPr>
              <w:pStyle w:val="Compact"/>
              <w:jc w:val="left"/>
            </w:pPr>
            <w:r>
              <w:t xml:space="preserve">Desenvolvedor (AG-24)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Marcos Turnes</w:t>
            </w:r>
          </w:p>
        </w:tc>
        <w:tc>
          <w:p>
            <w:pPr>
              <w:pStyle w:val="Compact"/>
              <w:jc w:val="left"/>
            </w:pPr>
            <w:r>
              <w:t xml:space="preserve">AASP</w:t>
            </w:r>
          </w:p>
        </w:tc>
        <w:tc>
          <w:p>
            <w:pPr>
              <w:pStyle w:val="Compact"/>
              <w:jc w:val="left"/>
            </w:pPr>
            <w:r>
              <w:t xml:space="preserve">Product Owner / Representante do Cliente / Aprovador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Leonardo Francisco Pereira</w:t>
            </w:r>
          </w:p>
        </w:tc>
        <w:tc>
          <w:p>
            <w:pPr>
              <w:pStyle w:val="Compact"/>
              <w:jc w:val="left"/>
            </w:pPr>
            <w:r>
              <w:t xml:space="preserve">AASP</w:t>
            </w:r>
          </w:p>
        </w:tc>
        <w:tc>
          <w:p>
            <w:pPr>
              <w:pStyle w:val="Compact"/>
              <w:jc w:val="left"/>
            </w:pPr>
            <w:r>
              <w:t xml:space="preserve">QA / Homologador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bjetivo-da-reunião"/>
      <w:r>
        <w:t xml:space="preserve">2. Objetivo da Reunião</w:t>
      </w:r>
      <w:bookmarkEnd w:id="22"/>
    </w:p>
    <w:p>
      <w:pPr>
        <w:pStyle w:val="FirstParagraph"/>
      </w:pPr>
      <w:r>
        <w:t xml:space="preserve">Apresentar os entregáveis da Sprint 2 (AG-23 e AG-24) ao cliente AASP, demonstrar o funcionamento da trilha de auditoria e da integração com ms.temis.vinculos via Swagger UI, apresentar os resultados dos testes de homologação executados por Leonardo Francisco Pereira e obter o aceite formal de Marcos Turnes (AASP, PO), encerrando oficialmente a Sprint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tens-apresentados"/>
      <w:r>
        <w:t xml:space="preserve">3. Itens Apresentados</w:t>
      </w:r>
      <w:bookmarkEnd w:id="23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História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Requisitos Cobertos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Funcionalidade Demonstrada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Cenários de Aceite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AG-23</w:t>
            </w:r>
            <w:r>
              <w:t xml:space="preserve"> </w:t>
            </w:r>
            <w:r>
              <w:t xml:space="preserve">— Auditoria de Operações de Grupos</w:t>
            </w:r>
          </w:p>
        </w:tc>
        <w:tc>
          <w:p>
            <w:pPr>
              <w:pStyle w:val="Compact"/>
              <w:jc w:val="left"/>
            </w:pPr>
            <w:r>
              <w:t xml:space="preserve">RF-07</w:t>
            </w:r>
          </w:p>
        </w:tc>
        <w:tc>
          <w:p>
            <w:pPr>
              <w:pStyle w:val="Compact"/>
              <w:jc w:val="left"/>
            </w:pPr>
            <w:r>
              <w:t xml:space="preserve">Interceptor de auditoria registrando operações Create/Update/Delete na tabela</w:t>
            </w:r>
            <w:r>
              <w:t xml:space="preserve"> </w:t>
            </w:r>
            <w:r>
              <w:rPr>
                <w:rStyle w:val="VerbatimChar"/>
              </w:rPr>
              <w:t xml:space="preserve">auditoria_grupos</w:t>
            </w:r>
            <w:r>
              <w:t xml:space="preserve">; consulta de trilha por</w:t>
            </w:r>
            <w:r>
              <w:t xml:space="preserve"> </w:t>
            </w:r>
            <w:r>
              <w:rPr>
                <w:rStyle w:val="VerbatimChar"/>
              </w:rPr>
              <w:t xml:space="preserve">usuario_acao</w:t>
            </w:r>
            <w:r>
              <w:t xml:space="preserve">; imutabilidade dos registros (append-only); índice</w:t>
            </w:r>
            <w:r>
              <w:t xml:space="preserve"> </w:t>
            </w:r>
            <w:r>
              <w:rPr>
                <w:rStyle w:val="VerbatimChar"/>
              </w:rPr>
              <w:t xml:space="preserve">IX_auditoria_grupos_usuario_acao</w:t>
            </w:r>
            <w:r>
              <w:t xml:space="preserve"> </w:t>
            </w:r>
            <w:r>
              <w:t xml:space="preserve">para performance</w:t>
            </w:r>
          </w:p>
        </w:tc>
        <w:tc>
          <w:p>
            <w:pPr>
              <w:pStyle w:val="Compact"/>
              <w:jc w:val="left"/>
            </w:pPr>
            <w:r>
              <w:t xml:space="preserve">AUD-01 (auditoria de criação), AUD-02 (auditoria de exclusão) — 2/2 OK</w:t>
            </w:r>
          </w:p>
        </w:tc>
        <w:tc>
          <w:p>
            <w:pPr>
              <w:pStyle w:val="Compact"/>
              <w:jc w:val="left"/>
            </w:pPr>
            <w:r>
              <w:t xml:space="preserve">Aprovado por Marcos Turnes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AG-24</w:t>
            </w:r>
            <w:r>
              <w:t xml:space="preserve"> </w:t>
            </w:r>
            <w:r>
              <w:t xml:space="preserve">— Integração ms.temis.vinculos</w:t>
            </w:r>
          </w:p>
        </w:tc>
        <w:tc>
          <w:p>
            <w:pPr>
              <w:pStyle w:val="Compact"/>
              <w:jc w:val="left"/>
            </w:pPr>
            <w:r>
              <w:t xml:space="preserve">RF-08</w:t>
            </w:r>
          </w:p>
        </w:tc>
        <w:tc>
          <w:p>
            <w:pPr>
              <w:pStyle w:val="Compact"/>
              <w:jc w:val="left"/>
            </w:pPr>
            <w:r>
              <w:t xml:space="preserve">Cliente HTTP sincronizando vínculos com ms.temis.vinculos (endpoint</w:t>
            </w:r>
            <w:r>
              <w:t xml:space="preserve"> </w:t>
            </w:r>
            <w:r>
              <w:rPr>
                <w:rStyle w:val="VerbatimChar"/>
              </w:rPr>
              <w:t xml:space="preserve">api/gerenciar/grupos/vinculados</w:t>
            </w:r>
            <w:r>
              <w:t xml:space="preserve">); comportamento fault-tolerant (timeout 5s + retry 2x); fallback sem interrupção do negócio</w:t>
            </w:r>
          </w:p>
        </w:tc>
        <w:tc>
          <w:p>
            <w:pPr>
              <w:pStyle w:val="Compact"/>
              <w:jc w:val="left"/>
            </w:pPr>
            <w:r>
              <w:t xml:space="preserve">INT-01 (happy path — sincronização bem-sucedida), INT-02 (fallback — ms.temis.vinculos indisponível, operação não interrompida) — 2/2 OK</w:t>
            </w:r>
          </w:p>
        </w:tc>
        <w:tc>
          <w:p>
            <w:pPr>
              <w:pStyle w:val="Compact"/>
              <w:jc w:val="left"/>
            </w:pPr>
            <w:r>
              <w:t xml:space="preserve">Aprovado por Marcos Turnes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emonstração-técnica"/>
      <w:r>
        <w:t xml:space="preserve">4. Demonstração Técnica</w:t>
      </w:r>
      <w:bookmarkEnd w:id="24"/>
    </w:p>
    <w:p>
      <w:pPr>
        <w:pStyle w:val="FirstParagraph"/>
      </w:pPr>
      <w:r>
        <w:t xml:space="preserve">Renan Kiyoshi demonstrou a</w:t>
      </w:r>
      <w:r>
        <w:t xml:space="preserve"> </w:t>
      </w:r>
      <w:r>
        <w:rPr>
          <w:b/>
        </w:rPr>
        <w:t xml:space="preserve">trilha de auditoria (AG-23)</w:t>
      </w:r>
      <w:r>
        <w:t xml:space="preserve"> </w:t>
      </w:r>
      <w:r>
        <w:t xml:space="preserve">via Swagger UI (</w:t>
      </w:r>
      <w:r>
        <w:rPr>
          <w:rStyle w:val="VerbatimChar"/>
        </w:rPr>
        <w:t xml:space="preserve">http://homologacao.aasp/swagger</w:t>
      </w:r>
      <w:r>
        <w:t xml:space="preserve">), executando operações de inclusão, alteração e exclusão de grupos e verificando os registros gerados na tabela</w:t>
      </w:r>
      <w:r>
        <w:t xml:space="preserve"> </w:t>
      </w:r>
      <w:r>
        <w:rPr>
          <w:rStyle w:val="VerbatimChar"/>
        </w:rPr>
        <w:t xml:space="preserve">auditoria_grupos</w:t>
      </w:r>
      <w:r>
        <w:t xml:space="preserve">. Demonstrou também a consulta de auditoria filtrando por</w:t>
      </w:r>
      <w:r>
        <w:t xml:space="preserve"> </w:t>
      </w:r>
      <w:r>
        <w:rPr>
          <w:rStyle w:val="VerbatimChar"/>
        </w:rPr>
        <w:t xml:space="preserve">usuario_acao</w:t>
      </w:r>
      <w:r>
        <w:t xml:space="preserve"> </w:t>
      </w:r>
      <w:r>
        <w:t xml:space="preserve">com uso do índice de performance.</w:t>
      </w:r>
    </w:p>
    <w:p>
      <w:pPr>
        <w:pStyle w:val="BodyText"/>
      </w:pPr>
      <w:r>
        <w:t xml:space="preserve">Mateus Veloso demonstrou a</w:t>
      </w:r>
      <w:r>
        <w:t xml:space="preserve"> </w:t>
      </w:r>
      <w:r>
        <w:rPr>
          <w:b/>
        </w:rPr>
        <w:t xml:space="preserve">integração com ms.temis.vinculos (AG-24)</w:t>
      </w:r>
      <w:r>
        <w:t xml:space="preserve">, incluindo o cenário de disponibilidade normal (INT-01) e o cenário de fallback com ms.temis.vinculos indisponível (INT-02), confirmando que a operação de negócio não é interrompida em caso de falha da integração. O timeout de 5s e o retry de 2 tentativas foram validados em ambiente de homologação.</w:t>
      </w:r>
    </w:p>
    <w:p>
      <w:pPr>
        <w:pStyle w:val="BodyText"/>
      </w:pPr>
      <w:r>
        <w:t xml:space="preserve">Cezar Hiraki apresentou o</w:t>
      </w:r>
      <w:r>
        <w:t xml:space="preserve"> </w:t>
      </w:r>
      <w:r>
        <w:rPr>
          <w:b/>
        </w:rPr>
        <w:t xml:space="preserve">resumo do code review</w:t>
      </w:r>
      <w:r>
        <w:t xml:space="preserve"> </w:t>
      </w:r>
      <w:r>
        <w:t xml:space="preserve">das MRs !6 e !7: 3 achados identificados (RV-006-01 P2, RV-006-02 P2, RV-007-01 P3), todos resolvidos antes do merge. Apresentou também a cobertura de testes: 14 novos métodos adicionados na Sprint 2, totalizando 36 métodos com cobertura cumulativa de 70,1% (meta: ≥ 60% — atingida).</w:t>
      </w:r>
    </w:p>
    <w:p>
      <w:pPr>
        <w:pStyle w:val="BodyText"/>
      </w:pPr>
      <w:r>
        <w:t xml:space="preserve">Leonardo Francisco Pereira confirmou que os</w:t>
      </w:r>
      <w:r>
        <w:t xml:space="preserve"> </w:t>
      </w:r>
      <w:r>
        <w:rPr>
          <w:b/>
        </w:rPr>
        <w:t xml:space="preserve">4 cenários de aceite</w:t>
      </w:r>
      <w:r>
        <w:t xml:space="preserve"> </w:t>
      </w:r>
      <w:r>
        <w:t xml:space="preserve">(AUD-01, AUD-02, INT-01, INT-02) foram executados por ele no ambiente de homologação AASP em 20/06/2026 e aprovados sem ressalvas, conforme evidências registradas no CTQ-AASP01-001.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764e9c718c85e64d9bae1794c8eccd144406068"/>
      <w:r>
        <w:t xml:space="preserve">5. Resultados dos Testes de Homologação — Sprint 2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Teste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 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Cumulativo (S1+S2)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Testes unitários</w:t>
            </w:r>
          </w:p>
        </w:tc>
        <w:tc>
          <w:p>
            <w:pPr>
              <w:pStyle w:val="Compact"/>
              <w:jc w:val="left"/>
            </w:pPr>
            <w:r>
              <w:t xml:space="preserve">14 novos métodos</w:t>
            </w:r>
          </w:p>
        </w:tc>
        <w:tc>
          <w:p>
            <w:pPr>
              <w:pStyle w:val="Compact"/>
              <w:jc w:val="left"/>
            </w:pPr>
            <w:r>
              <w:t xml:space="preserve">36 métodos</w:t>
            </w:r>
          </w:p>
        </w:tc>
        <w:tc>
          <w:p>
            <w:pPr>
              <w:pStyle w:val="Compact"/>
              <w:jc w:val="left"/>
            </w:pPr>
            <w:r>
              <w:t xml:space="preserve">100% passando; cobertura 70,1% (meta: ≥ 60% — atingida)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Testes de integração</w:t>
            </w:r>
          </w:p>
        </w:tc>
        <w:tc>
          <w:p>
            <w:pPr>
              <w:pStyle w:val="Compact"/>
              <w:jc w:val="left"/>
            </w:pPr>
            <w:r>
              <w:t xml:space="preserve">INT-01 + INT-02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2/2 aprovados (ms.temis.vinculos)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Cenários de aceite (CTQ)</w:t>
            </w:r>
          </w:p>
        </w:tc>
        <w:tc>
          <w:p>
            <w:pPr>
              <w:pStyle w:val="Compact"/>
              <w:jc w:val="left"/>
            </w:pPr>
            <w:r>
              <w:t xml:space="preserve">4 (AUD-01, AUD-02, INT-01, INT-02)</w:t>
            </w:r>
          </w:p>
        </w:tc>
        <w:tc>
          <w:p>
            <w:pPr>
              <w:pStyle w:val="Compact"/>
              <w:jc w:val="left"/>
            </w:pPr>
            <w:r>
              <w:t xml:space="preserve">14 (S1: 10 + S2: 4)</w:t>
            </w:r>
          </w:p>
        </w:tc>
        <w:tc>
          <w:p>
            <w:pPr>
              <w:pStyle w:val="Compact"/>
              <w:jc w:val="left"/>
            </w:pPr>
            <w:r>
              <w:t xml:space="preserve">4/4 (100%) aprovados por Leonardo Francisco Pereira em 20/06/2026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Achados code review (REV)</w:t>
            </w:r>
          </w:p>
        </w:tc>
        <w:tc>
          <w:p>
            <w:pPr>
              <w:pStyle w:val="Compact"/>
              <w:jc w:val="left"/>
            </w:pPr>
            <w:r>
              <w:t xml:space="preserve">3 (P2: 2 — !6; P3: 1 — !7)</w:t>
            </w:r>
          </w:p>
        </w:tc>
        <w:tc>
          <w:p>
            <w:pPr>
              <w:pStyle w:val="Compact"/>
              <w:jc w:val="left"/>
            </w:pPr>
            <w:r>
              <w:t xml:space="preserve">8 (S1: 5 + S2: 3)</w:t>
            </w:r>
          </w:p>
        </w:tc>
        <w:tc>
          <w:p>
            <w:pPr>
              <w:pStyle w:val="Compact"/>
              <w:jc w:val="left"/>
            </w:pPr>
            <w:r>
              <w:t xml:space="preserve">Todos resolvidos antes do merge — nenhum defeito aberto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pontos-levantados-pelo-cliente"/>
      <w:r>
        <w:t xml:space="preserve">6. Pontos Levantados pelo Cliente</w:t>
      </w:r>
      <w:bookmarkEnd w:id="26"/>
    </w:p>
    <w:p>
      <w:pPr>
        <w:numPr>
          <w:ilvl w:val="0"/>
          <w:numId w:val="1001"/>
        </w:numPr>
      </w:pPr>
      <w:r>
        <w:rPr>
          <w:b/>
        </w:rPr>
        <w:t xml:space="preserve">Marcos Turnes (AASP — PO):</w:t>
      </w:r>
      <w:r>
        <w:t xml:space="preserve"> </w:t>
      </w:r>
      <w:r>
        <w:t xml:space="preserve">Confirmou que as funcionalidades AG-23 e AG-24 atendem aos requisitos RF-07 e RF-08 especificados no REQ-AASP01-001. Validou o comportamento fault-tolerant da integração (INT-02): o sistema de negócio não pode ficar indisponível por falha de um serviço externo — o comportamento demonstrado está correto. Nenhuma ressalva técnica ou de negócio identificada. Confirmou o aceite formal da Sprint 2 via e-mail encaminhado à equipe Timeware em 20/06/2026 (arquivado).</w:t>
      </w:r>
    </w:p>
    <w:p>
      <w:pPr>
        <w:numPr>
          <w:ilvl w:val="0"/>
          <w:numId w:val="1001"/>
        </w:numPr>
      </w:pPr>
      <w:r>
        <w:rPr>
          <w:b/>
        </w:rPr>
        <w:t xml:space="preserve">Leonardo Francisco Pereira (AASP — QA):</w:t>
      </w:r>
      <w:r>
        <w:t xml:space="preserve"> </w:t>
      </w:r>
      <w:r>
        <w:t xml:space="preserve">Validou os 4 cenários de aceite no ambiente de homologação AASP. Confirmou que o ambiente de homologação com temis3 foi disponibilizado conforme acordado na Sprint Review da Sprint 1. Solicitou que o ambiente seja mantido disponível para os testes de regressão da Sprint 3 (AG-25).</w:t>
      </w:r>
    </w:p>
    <w:p>
      <w:pPr>
        <w:numPr>
          <w:ilvl w:val="0"/>
          <w:numId w:val="1001"/>
        </w:numPr>
      </w:pPr>
      <w:r>
        <w:rPr>
          <w:b/>
        </w:rPr>
        <w:t xml:space="preserve">Abraão Oliveira (Timeware — GP):</w:t>
      </w:r>
      <w:r>
        <w:t xml:space="preserve"> </w:t>
      </w:r>
      <w:r>
        <w:t xml:space="preserve">Informou que a Sprint 3 inicia em 23/06/2026 com a história AG-25 (Relatório Consolidado de Grupos). Confirmou que os documentos MPS-SW serão atualizados com os resultados da Sprint 2 (RAC, MED, REL-VV, GCO, RASTR, CTQ) na semana seguinte ao aceite.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aceite-formal"/>
      <w:r>
        <w:t xml:space="preserve">7. Aceite Formal</w:t>
      </w:r>
      <w:bookmarkEnd w:id="27"/>
    </w:p>
    <w:p>
      <w:pPr>
        <w:pStyle w:val="FirstParagraph"/>
      </w:pPr>
      <w:r>
        <w:rPr>
          <w:b/>
        </w:rPr>
        <w:t xml:space="preserve">Marcos Turnes (AASP) concedeu aceite formal da Sprint 2 SEM RESSALVAS em 20/06/2026.</w:t>
      </w:r>
    </w:p>
    <w:p>
      <w:pPr>
        <w:pStyle w:val="BodyText"/>
      </w:pPr>
      <w:r>
        <w:t xml:space="preserve">A Sprint 2 é considerada oficialmente encerrada e entregue. Todas as histórias (AG-23, AG-24) estão em status</w:t>
      </w:r>
      <w:r>
        <w:t xml:space="preserve"> </w:t>
      </w:r>
      <w:r>
        <w:rPr>
          <w:b/>
        </w:rPr>
        <w:t xml:space="preserve">Done</w:t>
      </w:r>
      <w:r>
        <w:t xml:space="preserve"> </w:t>
      </w:r>
      <w:r>
        <w:t xml:space="preserve">e os entregáveis foram aceitos pelo representante do cliente. A baseline BL-03 foi estabelecida com a tag</w:t>
      </w:r>
      <w:r>
        <w:t xml:space="preserve"> </w:t>
      </w:r>
      <w:r>
        <w:rPr>
          <w:rStyle w:val="VerbatimChar"/>
        </w:rPr>
        <w:t xml:space="preserve">sprint-2-aceite</w:t>
      </w:r>
      <w:r>
        <w:t xml:space="preserve"> </w:t>
      </w:r>
      <w:r>
        <w:t xml:space="preserve">no repositório GitLab após o aceite formal.</w:t>
      </w:r>
    </w:p>
    <w:p>
      <w:pPr>
        <w:pStyle w:val="BodyText"/>
      </w:pPr>
      <w:r>
        <w:rPr>
          <w:b/>
        </w:rPr>
        <w:t xml:space="preserve">Declaração de aceite (registrada em reunião via Microsoft Teams em 20/06/2026 e confirmada por e-mail arquivado de 20/06/2026):</w:t>
      </w:r>
    </w:p>
    <w:p>
      <w:pPr>
        <w:pStyle w:val="BlockText"/>
      </w:pPr>
      <w:r>
        <w:t xml:space="preserve">“</w:t>
      </w:r>
      <w:r>
        <w:t xml:space="preserve">Confirmo o aceite formal dos entregáveis da Sprint 2 (AG-23 e AG-24) do projeto Grupos de Usuários — AASP Gerenciador. A trilha de auditoria e a integração com ms.temis.vinculos foram demonstradas e validadas conforme os critérios de aceite definidos. O comportamento fault-tolerant da integração atende aos requisitos de disponibilidade do sistema. Nenhuma ressalva ou pendência identificada.</w:t>
      </w:r>
      <w:r>
        <w:t xml:space="preserve">”</w:t>
      </w:r>
    </w:p>
    <w:p>
      <w:pPr>
        <w:pStyle w:val="BlockText"/>
      </w:pPr>
      <w:r>
        <w:t xml:space="preserve">—</w:t>
      </w:r>
      <w:r>
        <w:t xml:space="preserve"> </w:t>
      </w:r>
      <w:r>
        <w:rPr>
          <w:b/>
        </w:rPr>
        <w:t xml:space="preserve">Marcos Turnes</w:t>
      </w:r>
      <w:r>
        <w:t xml:space="preserve">, AASP, 20/06/2026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róximos-passos"/>
      <w:r>
        <w:t xml:space="preserve">8. Próximos Passos</w:t>
      </w:r>
      <w:bookmarkEnd w:id="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Iniciar Sprint 3 — AG-25 (Relatório Consolidado de Grupos)</w:t>
            </w:r>
          </w:p>
        </w:tc>
        <w:tc>
          <w:p>
            <w:pPr>
              <w:pStyle w:val="Compact"/>
              <w:jc w:val="left"/>
            </w:pPr>
            <w:r>
              <w:t xml:space="preserve">Renan Kiyoshi, Henry Komatsu e Mateus Veloso</w:t>
            </w:r>
          </w:p>
        </w:tc>
        <w:tc>
          <w:p>
            <w:pPr>
              <w:pStyle w:val="Compact"/>
              <w:jc w:val="left"/>
            </w:pPr>
            <w:r>
              <w:t xml:space="preserve">23/06/2026</w:t>
            </w:r>
          </w:p>
        </w:tc>
        <w:tc>
          <w:p>
            <w:pPr>
              <w:pStyle w:val="Compact"/>
              <w:jc w:val="left"/>
            </w:pPr>
            <w:r>
              <w:t xml:space="preserve">✅ Cumprida — Sprint 3 iniciada em 23/06/2026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Atualizar documentos MPS-SW com resultados Sprint 2 (RAC, MED, REL-VV, GCO, RASTR, CTQ)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  <w:tc>
          <w:p>
            <w:pPr>
              <w:pStyle w:val="Compact"/>
              <w:jc w:val="left"/>
            </w:pPr>
            <w:r>
              <w:t xml:space="preserve">27/06/2026</w:t>
            </w:r>
          </w:p>
        </w:tc>
        <w:tc>
          <w:p>
            <w:pPr>
              <w:pStyle w:val="Compact"/>
              <w:jc w:val="left"/>
            </w:pPr>
            <w:r>
              <w:t xml:space="preserve">✅ Cumprida — documentos atualizados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Registrar baseline BL-03 no GCO-AASP01-001 com tag sprint-2-aceite</w:t>
            </w:r>
          </w:p>
        </w:tc>
        <w:tc>
          <w:p>
            <w:pPr>
              <w:pStyle w:val="Compact"/>
              <w:jc w:val="left"/>
            </w:pPr>
            <w:r>
              <w:t xml:space="preserve">Cezar Hiraki (GCO) + Silvio Baroni (SEPG — verificação independente)</w:t>
            </w:r>
          </w:p>
        </w:tc>
        <w:tc>
          <w:p>
            <w:pPr>
              <w:pStyle w:val="Compact"/>
              <w:jc w:val="left"/>
            </w:pPr>
            <w:r>
              <w:t xml:space="preserve">23/06/2026</w:t>
            </w:r>
          </w:p>
        </w:tc>
        <w:tc>
          <w:p>
            <w:pPr>
              <w:pStyle w:val="Compact"/>
              <w:jc w:val="left"/>
            </w:pPr>
            <w:r>
              <w:t xml:space="preserve">✅ Cumprida — BL-03 registrada; tag sprint-2-aceite criada no GitLab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Manter ambiente de homologação AASP disponível para regressão Sprint 3</w:t>
            </w:r>
          </w:p>
        </w:tc>
        <w:tc>
          <w:p>
            <w:pPr>
              <w:pStyle w:val="Compact"/>
              <w:jc w:val="left"/>
            </w:pPr>
            <w:r>
              <w:t xml:space="preserve">Leonardo Francisco Pereira (AASP)</w:t>
            </w:r>
          </w:p>
        </w:tc>
        <w:tc>
          <w:p>
            <w:pPr>
              <w:pStyle w:val="Compact"/>
              <w:jc w:val="left"/>
            </w:pPr>
            <w:r>
              <w:t xml:space="preserve">Duração da Sprint 3</w:t>
            </w:r>
          </w:p>
        </w:tc>
        <w:tc>
          <w:p>
            <w:pPr>
              <w:pStyle w:val="Compact"/>
              <w:jc w:val="left"/>
            </w:pPr>
            <w:r>
              <w:t xml:space="preserve">✅ Em andamento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Sprint Review Sprint 3 agendada — apresentação de AG-25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 + Marcos Turnes</w:t>
            </w:r>
          </w:p>
        </w:tc>
        <w:tc>
          <w:p>
            <w:pPr>
              <w:pStyle w:val="Compact"/>
              <w:jc w:val="left"/>
            </w:pPr>
            <w:r>
              <w:t xml:space="preserve">~04/07/2026 — 14h00 Teams</w:t>
            </w:r>
          </w:p>
        </w:tc>
        <w:tc>
          <w:p>
            <w:pPr>
              <w:pStyle w:val="Compact"/>
              <w:jc w:val="left"/>
            </w:pPr>
            <w:r>
              <w:t xml:space="preserve">⏳ Agendada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histórico-de-revisões"/>
      <w:r>
        <w:t xml:space="preserve">Histórico de Revisões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20/06/2026</w:t>
            </w:r>
          </w:p>
        </w:tc>
        <w:tc>
          <w:p>
            <w:pPr>
              <w:pStyle w:val="Compact"/>
              <w:jc w:val="left"/>
            </w:pPr>
            <w:r>
              <w:t xml:space="preserve">Abraão Oliveira</w:t>
            </w:r>
          </w:p>
        </w:tc>
        <w:tc>
          <w:p>
            <w:pPr>
              <w:pStyle w:val="Compact"/>
              <w:jc w:val="left"/>
            </w:pPr>
            <w:r>
              <w:t xml:space="preserve">Versão inicial — ata de aceite formal da Sprint 2 (AG-23, AG-24); aceite concedido por Marcos Turnes sem ressalvas; e-mail de confirmação arquivado em 20/06/2026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2026-07-01T14:15:43Z</dcterms:created>
  <dcterms:modified xsi:type="dcterms:W3CDTF">2026-07-01T14:15:43Z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