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ecd1062f0a18088728d8cc7d3a9422c168e7b0"/>
      <w:r>
        <w:t xml:space="preserve">Registro de Análise de Decisão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GDE-AASP01-001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AG — 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GP/TL</w:t>
            </w:r>
          </w:p>
        </w:tc>
        <w:tc>
          <w:p>
            <w:pPr>
              <w:pStyle w:val="Compact"/>
              <w:jc w:val="left"/>
            </w:pPr>
            <w:r>
              <w:t xml:space="preserve">Abraão (GP) · Cezar Hiraki (TL) (Timeware)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Renan Kiyoshi (Timeware)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</w:t>
            </w:r>
          </w:p>
        </w:tc>
        <w:tc>
          <w:p>
            <w:pPr>
              <w:pStyle w:val="Compact"/>
              <w:jc w:val="left"/>
            </w:pPr>
            <w:r>
              <w:t xml:space="preserve">Marcos Turnes (AASP)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QA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 (AASP)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fcfbde7ccaacef69edb6c7be2798c84912572db"/>
      <w:r>
        <w:t xml:space="preserve">Decisão GDE-001 — ORM para acesso ao banco SQL Server (Dapper vs Entity Framework Core)</w:t>
      </w:r>
      <w:bookmarkEnd w:id="21"/>
    </w:p>
    <w:p>
      <w:pPr>
        <w:pStyle w:val="Heading3"/>
      </w:pPr>
      <w:bookmarkStart w:id="22" w:name="contexto-problema"/>
      <w:r>
        <w:t xml:space="preserve">1. Contexto / problema</w:t>
      </w:r>
      <w:bookmarkEnd w:id="22"/>
    </w:p>
    <w:p>
      <w:pPr>
        <w:pStyle w:val="FirstParagraph"/>
      </w:pPr>
      <w:r>
        <w:t xml:space="preserve">O ms.auxo.usuarios precisa de uma camada de acesso ao banco SQL Server (auxo3). O projeto Gerenciador da AASP usa .NET 5.0 (net5.0) como target framework. A escolha do ORM e uma decisão arquitetural com impacto em toda a camada de dados do microsserviço, afetando performance, manutenção, compatibilidade e consistência com o restante do projeto.</w:t>
      </w:r>
    </w:p>
    <w:p>
      <w:pPr>
        <w:pStyle w:val="Heading3"/>
      </w:pPr>
      <w:bookmarkStart w:id="23" w:name="alternativas-avaliadas"/>
      <w:r>
        <w:t xml:space="preserve">2. Alternativas avaliadas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Alternativa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Dapper</w:t>
            </w:r>
          </w:p>
        </w:tc>
        <w:tc>
          <w:p>
            <w:pPr>
              <w:pStyle w:val="Compact"/>
              <w:jc w:val="left"/>
            </w:pPr>
            <w:r>
              <w:t xml:space="preserve">Micro-ORM open-source; queries SQL explicitas escritas pelo desenvolvedor; suporte pleno e oficial ao .NET 5.0 (net5.0); alto desempenho em operações de leitura e escrita; baixo overhead de memória e CPU; já utilizado em outros módulos do Gerenciador AASP como padrão estabelecido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Entity Framework Core 6.x</w:t>
            </w:r>
          </w:p>
        </w:tc>
        <w:tc>
          <w:p>
            <w:pPr>
              <w:pStyle w:val="Compact"/>
              <w:jc w:val="left"/>
            </w:pPr>
            <w:r>
              <w:t xml:space="preserve">ORM completo da Microsoft com abstração via LINQ e DbContext; suporte oficial ao .NET 5.0 (net5.0); porém introduziria um segundo padrão de acesso a dados no projeto; curva de aprendizado de migrations e DbContext; overhead maior em queries simples comparado ao Dapper; geração de SQL pode ser opaca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ADO.NET puro</w:t>
            </w:r>
          </w:p>
        </w:tc>
        <w:tc>
          <w:p>
            <w:pPr>
              <w:pStyle w:val="Compact"/>
              <w:jc w:val="left"/>
            </w:pPr>
            <w:r>
              <w:t xml:space="preserve">Acesso ao banco sem ORM; máximo controle sobre as queries; verboso e com alto custo de manutenção para operações CRUD; requer muito código boilerplate para cada operação; não oferece vantagem real sobre Dapper para este cenário</w:t>
            </w:r>
          </w:p>
        </w:tc>
      </w:tr>
    </w:tbl>
    <w:p>
      <w:pPr>
        <w:pStyle w:val="Heading3"/>
      </w:pPr>
      <w:bookmarkStart w:id="24" w:name="critérios-de-decisão"/>
      <w:r>
        <w:t xml:space="preserve">3. Critérios de decisão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Compatibilidade plena com .NET 5.0 (net5.0)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Consistência com o padrão existente do projeto Gerenciador AASP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em operações de leitura (listagem de grupos,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Facilidade de manutenção e debugging de queries SQL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Curva de aprendizado da equipe atual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</w:tbl>
    <w:p>
      <w:pPr>
        <w:pStyle w:val="Heading3"/>
      </w:pPr>
      <w:bookmarkStart w:id="25" w:name="avaliação-matriz-de-decisão"/>
      <w:r>
        <w:t xml:space="preserve">4. Avaliação — Matriz de decisão</w:t>
      </w:r>
      <w:bookmarkEnd w:id="2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— Dapper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 — EF Core 6.x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 — ADO.NET puro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Compatibilidade com .NET 5.0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p>
            <w:pPr>
              <w:pStyle w:val="Compact"/>
              <w:jc w:val="left"/>
            </w:pPr>
            <w:r>
              <w:t xml:space="preserve">Plena — suporte oficial e estável ao .NET 5.0 (net5.0)</w:t>
            </w:r>
          </w:p>
        </w:tc>
        <w:tc>
          <w:p>
            <w:pPr>
              <w:pStyle w:val="Compact"/>
              <w:jc w:val="left"/>
            </w:pPr>
            <w:r>
              <w:t xml:space="preserve">Plena — EF Core 6 suporta net5.0 oficialmente, mas seria um novo padrão no projeto</w:t>
            </w:r>
          </w:p>
        </w:tc>
        <w:tc>
          <w:p>
            <w:pPr>
              <w:pStyle w:val="Compact"/>
              <w:jc w:val="left"/>
            </w:pPr>
            <w:r>
              <w:t xml:space="preserve">Plena — ADO.NET é nativo do .NET em qualquer versão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Consistência com o projeto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p>
            <w:pPr>
              <w:pStyle w:val="Compact"/>
              <w:jc w:val="left"/>
            </w:pPr>
            <w:r>
              <w:t xml:space="preserve">Excelente — Dapper já e o padrão adotado nos outros módulos do Gerenciador AASP; equipe conhece o padrão</w:t>
            </w:r>
          </w:p>
        </w:tc>
        <w:tc>
          <w:p>
            <w:pPr>
              <w:pStyle w:val="Compact"/>
              <w:jc w:val="left"/>
            </w:pPr>
            <w:r>
              <w:t xml:space="preserve">Baixa — EF Core seria uma exceção no projeto, introduzindo um segundo padrão de acesso a dados sem justificativa técnica suficiente</w:t>
            </w:r>
          </w:p>
        </w:tc>
        <w:tc>
          <w:p>
            <w:pPr>
              <w:pStyle w:val="Compact"/>
              <w:jc w:val="left"/>
            </w:pPr>
            <w:r>
              <w:t xml:space="preserve">Media — possível de usar, mas introduz verbosidade e diferenca de estilo em relação ao restante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em leitura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p>
            <w:pPr>
              <w:pStyle w:val="Compact"/>
              <w:jc w:val="left"/>
            </w:pPr>
            <w:r>
              <w:t xml:space="preserve">Excelente — queries SQL otimizadas escritas diretamente pelo desenvolvedor; sem overhead de tradução LINQ para SQL</w:t>
            </w:r>
          </w:p>
        </w:tc>
        <w:tc>
          <w:p>
            <w:pPr>
              <w:pStyle w:val="Compact"/>
              <w:jc w:val="left"/>
            </w:pPr>
            <w:r>
              <w:t xml:space="preserve">Boa — pode gerar SQL ineficiente via LINQ para queries complexas; otimizações exigem conhecimento avancado do EF Core</w:t>
            </w:r>
          </w:p>
        </w:tc>
        <w:tc>
          <w:p>
            <w:pPr>
              <w:pStyle w:val="Compact"/>
              <w:jc w:val="left"/>
            </w:pPr>
            <w:r>
              <w:t xml:space="preserve">Excelente — controle total sobre o SQL; sem overhead de 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Manutenção e debugging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p>
            <w:pPr>
              <w:pStyle w:val="Compact"/>
              <w:jc w:val="left"/>
            </w:pPr>
            <w:r>
              <w:t xml:space="preserve">Bom — SQL explicito e legivel no código; fácil de debugar e otimizar queries diretamente</w:t>
            </w:r>
          </w:p>
        </w:tc>
        <w:tc>
          <w:p>
            <w:pPr>
              <w:pStyle w:val="Compact"/>
              <w:jc w:val="left"/>
            </w:pPr>
            <w:r>
              <w:t xml:space="preserve">Bom — mas o SQL gerado pelo EF Core pode ser opaco e difícil de debugar sem ferramentas adicionais</w:t>
            </w:r>
          </w:p>
        </w:tc>
        <w:tc>
          <w:p>
            <w:pPr>
              <w:pStyle w:val="Compact"/>
              <w:jc w:val="left"/>
            </w:pPr>
            <w:r>
              <w:t xml:space="preserve">Ruim — código muito verboso para CRUD básico; alto custo de manutenção para operações simples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Curva de aprendizado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p>
            <w:pPr>
              <w:pStyle w:val="Compact"/>
              <w:jc w:val="left"/>
            </w:pPr>
            <w:r>
              <w:t xml:space="preserve">Baixa — equipe já trabalha com Dapper nos outros módulos; sem necessidade de treinamento adicional</w:t>
            </w:r>
          </w:p>
        </w:tc>
        <w:tc>
          <w:p>
            <w:pPr>
              <w:pStyle w:val="Compact"/>
              <w:jc w:val="left"/>
            </w:pPr>
            <w:r>
              <w:t xml:space="preserve">Media — EF Core tem curva de aprendizado significativa com migrations, DbContext, fluent API e comportamentos de tracking</w:t>
            </w:r>
          </w:p>
        </w:tc>
        <w:tc>
          <w:p>
            <w:pPr>
              <w:pStyle w:val="Compact"/>
              <w:jc w:val="left"/>
            </w:pPr>
            <w:r>
              <w:t xml:space="preserve">Baixa — ADO.NET e simples conceitualmente, mas verbose</w:t>
            </w:r>
          </w:p>
        </w:tc>
      </w:tr>
    </w:tbl>
    <w:p>
      <w:pPr>
        <w:pStyle w:val="Heading3"/>
      </w:pPr>
      <w:bookmarkStart w:id="26" w:name="decisão"/>
      <w:r>
        <w:t xml:space="preserve">5. Decisão</w:t>
      </w:r>
      <w:bookmarkEnd w:id="26"/>
    </w:p>
    <w:p>
      <w:pPr>
        <w:pStyle w:val="FirstParagraph"/>
      </w:pPr>
      <w:r>
        <w:rPr>
          <w:b/>
        </w:rPr>
        <w:t xml:space="preserve">Escolhido: Alternativa A — Dapper</w:t>
      </w:r>
    </w:p>
    <w:p>
      <w:pPr>
        <w:pStyle w:val="BodyText"/>
      </w:pPr>
      <w:r>
        <w:t xml:space="preserve">Justificativa: a consistência com o padrão já adotado nos demais módulos do Gerenciador AASP e a performance em leitura foram os fatores determinantes. Embora o EF Core 6 também suporte o .NET 5.0, adotá-lo introduziria um segundo padrão de acesso a dados sem justificativa técnica suficiente, divergindo do restante do projeto. O Dapper oferece performance superior em queries de leitura, e a equipe já possui experiência consolidada com o micro-ORM nos outros módulos do projeto, eliminando curva de aprendizado e garantindo consistência arquitetural. A alternativa C (ADO.NET puro) foi descartada por não oferecer vantagem real sobre o Dapper para este cenário, com custo de manutenção significativamente maior.</w:t>
      </w:r>
    </w:p>
    <w:p>
      <w:pPr>
        <w:pStyle w:val="Heading3"/>
      </w:pPr>
      <w:bookmarkStart w:id="27" w:name="impacto-e-riscos-da-decisão"/>
      <w:r>
        <w:t xml:space="preserve">6. Impacto e riscos da decisão</w:t>
      </w:r>
      <w:bookmarkEnd w:id="27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Impacto arquitetural:</w:t>
      </w:r>
      <w:r>
        <w:t xml:space="preserve"> </w:t>
      </w:r>
      <w:r>
        <w:t xml:space="preserve">toda a camada de repositório do ms.auxo.usuarios usara Dapper com queries SQL explicitas; migrations e alterações de schema serão gerenciadas por scripts .sql versionados no repositório (sem EF Core migrations)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Risco aceito:</w:t>
      </w:r>
      <w:r>
        <w:t xml:space="preserve"> </w:t>
      </w:r>
      <w:r>
        <w:t xml:space="preserve">maior verbosidade no repositório em comparação com EF Core para operações simples; mitigado pela consistência com o padrão do projeto e pela experiência da equipe com Dapper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Decisão validada por:</w:t>
      </w:r>
      <w:r>
        <w:t xml:space="preserve"> </w:t>
      </w:r>
      <w:r>
        <w:t xml:space="preserve">Cezar Hiraki (TL) e Marcos Turnes (PO) no Kickoff em 19/05/2026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79fd0c7c0b078e2a57548abb7431a7b0125330"/>
      <w:r>
        <w:t xml:space="preserve">Decisão GDE-002 — Estratégia de exclusão de grupos (Soft Delete vs Hard Delete)</w:t>
      </w:r>
      <w:bookmarkEnd w:id="28"/>
    </w:p>
    <w:p>
      <w:pPr>
        <w:pStyle w:val="Heading3"/>
      </w:pPr>
      <w:bookmarkStart w:id="29" w:name="contexto-problema-1"/>
      <w:r>
        <w:t xml:space="preserve">1. Contexto / problema</w:t>
      </w:r>
      <w:bookmarkEnd w:id="29"/>
    </w:p>
    <w:p>
      <w:pPr>
        <w:pStyle w:val="FirstParagraph"/>
      </w:pPr>
      <w:r>
        <w:t xml:space="preserve">Ao excluir um grupo de usuários, e necessário decidir se o registro e removido fisicamente do banco (hard delete via DELETE SQL) ou apenas marcado como excluido (soft delete via campo</w:t>
      </w:r>
      <w:r>
        <w:t xml:space="preserve"> </w:t>
      </w:r>
      <w:r>
        <w:rPr>
          <w:rStyle w:val="VerbatimChar"/>
        </w:rPr>
        <w:t xml:space="preserve">excluido</w:t>
      </w:r>
      <w:r>
        <w:t xml:space="preserve">). A decisão impacta integridade referencial das tabelas relacionadas (</w:t>
      </w:r>
      <w:r>
        <w:rPr>
          <w:rStyle w:val="VerbatimChar"/>
        </w:rPr>
        <w:t xml:space="preserve">grupos_usuarios_vinculos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grupos_usuarios_funcao</w:t>
      </w:r>
      <w:r>
        <w:t xml:space="preserve">), auditabilidade do sistema e conformidade com os requisitos do processo MPS-SW de rastreabilidade.</w:t>
      </w:r>
    </w:p>
    <w:p>
      <w:pPr>
        <w:pStyle w:val="Heading3"/>
      </w:pPr>
      <w:bookmarkStart w:id="30" w:name="alternativas-avaliadas-1"/>
      <w:r>
        <w:t xml:space="preserve">2. Alternativas avaliadas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Alternativa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Soft Delete (campo</w:t>
            </w:r>
            <w:r>
              <w:t xml:space="preserve"> </w:t>
            </w:r>
            <w:r>
              <w:rPr>
                <w:rStyle w:val="VerbatimChar"/>
              </w:rPr>
              <w:t xml:space="preserve">excluido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Registro permanece fisicamente no banco; o campo</w:t>
            </w:r>
            <w:r>
              <w:t xml:space="preserve"> </w:t>
            </w:r>
            <w:r>
              <w:rPr>
                <w:rStyle w:val="VerbatimChar"/>
              </w:rPr>
              <w:t xml:space="preserve">excluido</w:t>
            </w:r>
            <w:r>
              <w:t xml:space="preserve"> </w:t>
            </w:r>
            <w:r>
              <w:t xml:space="preserve">e definido como 1 na operação de exclusão; todas as queries de listagem filtram</w:t>
            </w:r>
            <w:r>
              <w:t xml:space="preserve"> </w:t>
            </w:r>
            <w:r>
              <w:rPr>
                <w:rStyle w:val="VerbatimChar"/>
              </w:rPr>
              <w:t xml:space="preserve">WHERE excluido = 0</w:t>
            </w:r>
            <w:r>
              <w:t xml:space="preserve">; histórico de dados preservado; integridade referencial com as tabelas relacionadas mantida sem cascata de deleções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Hard Delete (exclusão física)</w:t>
            </w:r>
          </w:p>
        </w:tc>
        <w:tc>
          <w:p>
            <w:pPr>
              <w:pStyle w:val="Compact"/>
              <w:jc w:val="left"/>
            </w:pPr>
            <w:r>
              <w:t xml:space="preserve">Registro removido do banco via DELETE SQL; implementação mais simples; perde o histórico do grupo; pode causar registros orfaos nas tabelas relacionadas (</w:t>
            </w:r>
            <w:r>
              <w:rPr>
                <w:rStyle w:val="VerbatimChar"/>
              </w:rPr>
              <w:t xml:space="preserve">grupos_usuarios_vinculos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grupos_usuarios_funcao</w:t>
            </w:r>
            <w:r>
              <w:t xml:space="preserve">), a menos que se implemente CASCADE DELETE ou exclusão manual em cascata</w:t>
            </w:r>
          </w:p>
        </w:tc>
      </w:tr>
    </w:tbl>
    <w:p>
      <w:pPr>
        <w:pStyle w:val="Heading3"/>
      </w:pPr>
      <w:bookmarkStart w:id="31" w:name="critérios-de-decisão-1"/>
      <w:r>
        <w:t xml:space="preserve">3. Critérios de decisão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Integridade referencial e preservação do histórico de dados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Rastreabilidade para fins de auditoria e conformidade MPS-SW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Comportamento esperado e validado pelo PO (AASP)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Simplicidade de implementação</w:t>
            </w:r>
          </w:p>
        </w:tc>
        <w:tc>
          <w:p>
            <w:pPr>
              <w:pStyle w:val="Compact"/>
              <w:jc w:val="left"/>
            </w:pPr>
            <w:r>
              <w:t xml:space="preserve">Baixo</w:t>
            </w:r>
          </w:p>
        </w:tc>
      </w:tr>
    </w:tbl>
    <w:p>
      <w:pPr>
        <w:pStyle w:val="Heading3"/>
      </w:pPr>
      <w:bookmarkStart w:id="32" w:name="avaliação-matriz-de-decisão-1"/>
      <w:r>
        <w:t xml:space="preserve">4. Avaliação — Matriz de decisão</w:t>
      </w:r>
      <w:bookmarkEnd w:id="32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— Soft Delete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 — Hard Delete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Integridade referencial e histórico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p>
            <w:pPr>
              <w:pStyle w:val="Compact"/>
              <w:jc w:val="left"/>
            </w:pPr>
            <w:r>
              <w:t xml:space="preserve">Excelente — os registros de</w:t>
            </w:r>
            <w:r>
              <w:t xml:space="preserve"> </w:t>
            </w:r>
            <w:r>
              <w:rPr>
                <w:rStyle w:val="VerbatimChar"/>
              </w:rPr>
              <w:t xml:space="preserve">grupos_usuarios_vinculos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grupos_usuarios_funcao</w:t>
            </w:r>
            <w:r>
              <w:t xml:space="preserve"> </w:t>
            </w:r>
            <w:r>
              <w:t xml:space="preserve">permanecem integros; histórico completo preservado</w:t>
            </w:r>
          </w:p>
        </w:tc>
        <w:tc>
          <w:p>
            <w:pPr>
              <w:pStyle w:val="Compact"/>
              <w:jc w:val="left"/>
            </w:pPr>
            <w:r>
              <w:t xml:space="preserve">Ruim — exige CASCADE DELETE nas tabelas relacionadas ou exclusão manual em cascata; histórico perdido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Rastreabilidade e auditoria</w:t>
            </w:r>
          </w:p>
        </w:tc>
        <w:tc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p>
            <w:pPr>
              <w:pStyle w:val="Compact"/>
              <w:jc w:val="left"/>
            </w:pPr>
            <w:r>
              <w:t xml:space="preserve">Excelente — grupos excluidos podem ser consultados para auditoria</w:t>
            </w:r>
          </w:p>
        </w:tc>
        <w:tc>
          <w:p>
            <w:pPr>
              <w:pStyle w:val="Compact"/>
              <w:jc w:val="left"/>
            </w:pPr>
            <w:r>
              <w:t xml:space="preserve">Ruim — registros relacionados ficam orfaos após hard delete; rastreabilidade comprometida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Comportamento validado pelo PO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p>
            <w:pPr>
              <w:pStyle w:val="Compact"/>
              <w:jc w:val="left"/>
            </w:pPr>
            <w:r>
              <w:t xml:space="preserve">Aprovado — Marcos Turnes validou a abordagem de soft delete no Kickoff</w:t>
            </w:r>
          </w:p>
        </w:tc>
        <w:tc>
          <w:p>
            <w:pPr>
              <w:pStyle w:val="Compact"/>
              <w:jc w:val="left"/>
            </w:pPr>
            <w:r>
              <w:t xml:space="preserve">Não validado — não e a expectativa do 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Simplicidade de implementação</w:t>
            </w:r>
          </w:p>
        </w:tc>
        <w:tc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p>
            <w:pPr>
              <w:pStyle w:val="Compact"/>
              <w:jc w:val="left"/>
            </w:pPr>
            <w:r>
              <w:t xml:space="preserve">Media — requer o campo</w:t>
            </w:r>
            <w:r>
              <w:t xml:space="preserve"> </w:t>
            </w:r>
            <w:r>
              <w:rPr>
                <w:rStyle w:val="VerbatimChar"/>
              </w:rPr>
              <w:t xml:space="preserve">excluido</w:t>
            </w:r>
            <w:r>
              <w:t xml:space="preserve"> </w:t>
            </w:r>
            <w:r>
              <w:t xml:space="preserve">e o filtro</w:t>
            </w:r>
            <w:r>
              <w:t xml:space="preserve"> </w:t>
            </w:r>
            <w:r>
              <w:rPr>
                <w:rStyle w:val="VerbatimChar"/>
              </w:rPr>
              <w:t xml:space="preserve">WHERE excluido = 0</w:t>
            </w:r>
            <w:r>
              <w:t xml:space="preserve"> </w:t>
            </w:r>
            <w:r>
              <w:t xml:space="preserve">em todas as queries de listagem</w:t>
            </w:r>
          </w:p>
        </w:tc>
        <w:tc>
          <w:p>
            <w:pPr>
              <w:pStyle w:val="Compact"/>
              <w:jc w:val="left"/>
            </w:pPr>
            <w:r>
              <w:t xml:space="preserve">Alta — DELETE SQL simples; porém exige tratamento de cascata</w:t>
            </w:r>
          </w:p>
        </w:tc>
      </w:tr>
    </w:tbl>
    <w:p>
      <w:pPr>
        <w:pStyle w:val="Heading3"/>
      </w:pPr>
      <w:bookmarkStart w:id="33" w:name="decisão-1"/>
      <w:r>
        <w:t xml:space="preserve">5. Decisão</w:t>
      </w:r>
      <w:bookmarkEnd w:id="33"/>
    </w:p>
    <w:p>
      <w:pPr>
        <w:pStyle w:val="FirstParagraph"/>
      </w:pPr>
      <w:r>
        <w:rPr>
          <w:b/>
        </w:rPr>
        <w:t xml:space="preserve">Escolhido: Alternativa A — Soft Delete</w:t>
      </w:r>
    </w:p>
    <w:p>
      <w:pPr>
        <w:pStyle w:val="BodyText"/>
      </w:pPr>
      <w:r>
        <w:t xml:space="preserve">Justificativa: A integridade referencial e critica para o ms.auxo.usuarios — grupos possuem histórico de vinculos (</w:t>
      </w:r>
      <w:r>
        <w:rPr>
          <w:rStyle w:val="VerbatimChar"/>
        </w:rPr>
        <w:t xml:space="preserve">grupos_usuarios_vinculos</w:t>
      </w:r>
      <w:r>
        <w:t xml:space="preserve">) e de funções (</w:t>
      </w:r>
      <w:r>
        <w:rPr>
          <w:rStyle w:val="VerbatimChar"/>
        </w:rPr>
        <w:t xml:space="preserve">grupos_usuarios_funcao</w:t>
      </w:r>
      <w:r>
        <w:t xml:space="preserve">) que não devem ser perdidos. O hard delete exigiria cascata de exclusões ou geraria registros orfaos nas tabelas relacionadas, comprometendo a rastreabilidade exigida pelo processo MPS-SW. O soft delete preserva o histórico completo, e compativel com o requisito de auditoria (AG-23 — planejado para a Sprint 2) e alinhado com a rastreabilidade exigida pelo MPS-SW nível C. Decisão validada com o PO Marcos Turnes no Kickoff em 19/05/2026 (referenciado como D-02 na ATA-AASP01-001).</w:t>
      </w:r>
    </w:p>
    <w:p>
      <w:pPr>
        <w:pStyle w:val="Heading3"/>
      </w:pPr>
      <w:bookmarkStart w:id="34" w:name="impacto-da-decisão"/>
      <w:r>
        <w:t xml:space="preserve">6. Impacto da decisão</w:t>
      </w:r>
      <w:bookmarkEnd w:id="3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Tabela</w:t>
      </w:r>
      <w:r>
        <w:rPr>
          <w:b/>
        </w:rPr>
        <w:t xml:space="preserve"> </w:t>
      </w:r>
      <w:r>
        <w:rPr>
          <w:rStyle w:val="VerbatimChar"/>
          <w:b/>
        </w:rPr>
        <w:t xml:space="preserve">grupos_usuarios</w:t>
      </w:r>
      <w:r>
        <w:rPr>
          <w:b/>
        </w:rPr>
        <w:t xml:space="preserve">:</w:t>
      </w:r>
      <w:r>
        <w:t xml:space="preserve"> </w:t>
      </w:r>
      <w:r>
        <w:t xml:space="preserve">campo</w:t>
      </w:r>
      <w:r>
        <w:t xml:space="preserve"> </w:t>
      </w:r>
      <w:r>
        <w:rPr>
          <w:rStyle w:val="VerbatimChar"/>
        </w:rPr>
        <w:t xml:space="preserve">excluido</w:t>
      </w:r>
      <w:r>
        <w:t xml:space="preserve"> </w:t>
      </w:r>
      <w:r>
        <w:t xml:space="preserve">(0 = ativo, 1 = excluido) e</w:t>
      </w:r>
      <w:r>
        <w:t xml:space="preserve"> </w:t>
      </w:r>
      <w:r>
        <w:rPr>
          <w:rStyle w:val="VerbatimChar"/>
        </w:rPr>
        <w:t xml:space="preserve">data_exclusao</w:t>
      </w:r>
      <w:r>
        <w:t xml:space="preserve"> </w:t>
      </w:r>
      <w:r>
        <w:t xml:space="preserve">usados para o soft delete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Endpoint</w:t>
      </w:r>
      <w:r>
        <w:rPr>
          <w:b/>
        </w:rPr>
        <w:t xml:space="preserve"> </w:t>
      </w:r>
      <w:r>
        <w:rPr>
          <w:rStyle w:val="VerbatimChar"/>
          <w:b/>
        </w:rPr>
        <w:t xml:space="preserve">excluirgrupo</w:t>
      </w:r>
      <w:r>
        <w:rPr>
          <w:b/>
        </w:rPr>
        <w:t xml:space="preserve">:</w:t>
      </w:r>
      <w:r>
        <w:t xml:space="preserve"> </w:t>
      </w:r>
      <w:r>
        <w:t xml:space="preserve">executa</w:t>
      </w:r>
      <w:r>
        <w:t xml:space="preserve"> </w:t>
      </w:r>
      <w:r>
        <w:rPr>
          <w:rStyle w:val="VerbatimChar"/>
        </w:rPr>
        <w:t xml:space="preserve">UPDATE grupos_usuarios SET excluido = 1, data_exclusao = GETDATE() WHERE id = @id</w:t>
      </w:r>
      <w:r>
        <w:t xml:space="preserve"> </w:t>
      </w:r>
      <w:r>
        <w:t xml:space="preserve">— não executa DELETE SQL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Queries de listagem:</w:t>
      </w:r>
      <w:r>
        <w:t xml:space="preserve"> </w:t>
      </w:r>
      <w:r>
        <w:t xml:space="preserve">todas as queries de SELECT em</w:t>
      </w:r>
      <w:r>
        <w:t xml:space="preserve"> </w:t>
      </w:r>
      <w:r>
        <w:rPr>
          <w:rStyle w:val="VerbatimChar"/>
        </w:rPr>
        <w:t xml:space="preserve">grupos_usuarios</w:t>
      </w:r>
      <w:r>
        <w:t xml:space="preserve"> </w:t>
      </w:r>
      <w:r>
        <w:t xml:space="preserve">filtram</w:t>
      </w:r>
      <w:r>
        <w:t xml:space="preserve"> </w:t>
      </w:r>
      <w:r>
        <w:rPr>
          <w:rStyle w:val="VerbatimChar"/>
        </w:rPr>
        <w:t xml:space="preserve">WHERE excluido = 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Hard delete:</w:t>
      </w:r>
      <w:r>
        <w:t xml:space="preserve"> </w:t>
      </w:r>
      <w:r>
        <w:t xml:space="preserve">nunca executado via API; apenas o time de DBA pode remover registros diretamente no banco em casos excepcionais e documentados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Soft delete de vinculos:</w:t>
      </w:r>
      <w:r>
        <w:t xml:space="preserve"> </w:t>
      </w:r>
      <w:r>
        <w:t xml:space="preserve">a mesma estratégia se aplica a</w:t>
      </w:r>
      <w:r>
        <w:t xml:space="preserve"> </w:t>
      </w:r>
      <w:r>
        <w:rPr>
          <w:rStyle w:val="VerbatimChar"/>
        </w:rPr>
        <w:t xml:space="preserve">grupos_usuarios_vinculos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removerusuario</w:t>
      </w:r>
      <w:r>
        <w:t xml:space="preserve"> </w:t>
      </w:r>
      <w:r>
        <w:t xml:space="preserve">faz</w:t>
      </w:r>
      <w:r>
        <w:t xml:space="preserve"> </w:t>
      </w:r>
      <w:r>
        <w:rPr>
          <w:rStyle w:val="VerbatimChar"/>
        </w:rPr>
        <w:t xml:space="preserve">UPDATE ... SET excluido = 1</w:t>
      </w:r>
      <w:r>
        <w:t xml:space="preserve">, não DELETE do registro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histórico-de-revisões"/>
      <w:r>
        <w:t xml:space="preserve">Histórico de revisões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Criação do documento; decisões GDE-001 (Dapper) e GDE-002 (Soft Delete) tomadas no Kickoff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15/06/2026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GDE-002 alinhado ao schema real (soft delete via</w:t>
            </w:r>
            <w:r>
              <w:t xml:space="preserve"> </w:t>
            </w:r>
            <w:r>
              <w:rPr>
                <w:rStyle w:val="VerbatimChar"/>
              </w:rPr>
              <w:t xml:space="preserve">excluido</w:t>
            </w:r>
            <w:r>
              <w:t xml:space="preserve">; tabelas</w:t>
            </w:r>
            <w:r>
              <w:t xml:space="preserve"> </w:t>
            </w:r>
            <w:r>
              <w:rPr>
                <w:rStyle w:val="VerbatimChar"/>
              </w:rPr>
              <w:t xml:space="preserve">grupos_usuarios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_vinculos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_funcao</w:t>
            </w:r>
            <w:r>
              <w:t xml:space="preserve">; endpoint</w:t>
            </w:r>
            <w:r>
              <w:t xml:space="preserve"> </w:t>
            </w:r>
            <w:r>
              <w:rPr>
                <w:rStyle w:val="VerbatimChar"/>
              </w:rPr>
              <w:t xml:space="preserve">excluirgrupo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24/06/2026</w:t>
            </w:r>
          </w:p>
        </w:tc>
        <w:tc>
          <w:p>
            <w:pPr>
              <w:pStyle w:val="Compact"/>
              <w:jc w:val="left"/>
            </w:pPr>
            <w:r>
              <w:t xml:space="preserve">Silvio Baroni (SEPG)</w:t>
            </w:r>
          </w:p>
        </w:tc>
        <w:tc>
          <w:p>
            <w:pPr>
              <w:pStyle w:val="Compact"/>
              <w:jc w:val="left"/>
            </w:pPr>
            <w:r>
              <w:t xml:space="preserve">Reconciliação com o estado real do GitLab (produto/repositório ms.auxo.usuarios; framework net5.0 onde aplicável; entregas da Sprint 1 integradas em develop com baseline pela tag sprint-1-aceite).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/>
        </w:tc>
        <w:tc>
          <w:p/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2026-07-01T12:41:48Z</dcterms:created>
  <dcterms:modified xsi:type="dcterms:W3CDTF">2026-07-01T12:41:48Z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