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684ec4e39d7a002905fd887012f8632c9e3e91"/>
      <w:r>
        <w:t xml:space="preserve">Registro de Verificação de GQA — AASP Gerenciador · Grupos de Usuários</w:t>
      </w:r>
      <w:bookmarkEnd w:id="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GQA-AASP01-001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Grupos de Usuários — AASP Gerenciador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AASP — Associação dos Advogados de São Paulo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Marco / tipo de verificação</w:t>
            </w:r>
          </w:p>
        </w:tc>
        <w:tc>
          <w:p>
            <w:pPr>
              <w:pStyle w:val="Compact"/>
              <w:jc w:val="left"/>
            </w:pPr>
            <w:r>
              <w:t xml:space="preserve">Verificação intermediária — pós-Sprint 1 e meio da Sprint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15/06/2026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Auditor (GQA)</w:t>
            </w:r>
          </w:p>
        </w:tc>
        <w:tc>
          <w:p>
            <w:pPr>
              <w:pStyle w:val="Compact"/>
              <w:jc w:val="left"/>
            </w:pPr>
            <w:r>
              <w:t xml:space="preserve">Silvio Baroni — Time de Melhoria Contínua / SEPG (auditor independente)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Gerente de Projeto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Processo MPS-SW</w:t>
            </w:r>
          </w:p>
        </w:tc>
        <w:tc>
          <w:p>
            <w:pPr>
              <w:pStyle w:val="Compact"/>
              <w:jc w:val="left"/>
            </w:pPr>
            <w:r>
              <w:t xml:space="preserve">GQA — Garantia da Qualidade do Processo e do Produto (evidência de projeto)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scopo-da-verificação"/>
      <w:r>
        <w:t xml:space="preserve">1. Escopo da verificação</w:t>
      </w:r>
      <w:bookmarkEnd w:id="21"/>
    </w:p>
    <w:p>
      <w:pPr>
        <w:pStyle w:val="FirstParagraph"/>
      </w:pPr>
      <w:r>
        <w:t xml:space="preserve">Verificação independente da aderência do projeto AASP01 — Grupos de Usuários ao Processo-Padrão Organizacional (PRO-GPC-001) e às adaptações registradas (ADAP-AASP01-001), conforme a Estratégia de Garantia da Qualidade (EST-GPC-001). Esta é a auditoria intermediária prevista para projetos de Nível 2 de adaptação (GUIA-GPC-001, §5.2); a auditoria de encerramento ocorrerá na Sprint 3.</w:t>
      </w:r>
    </w:p>
    <w:p>
      <w:pPr>
        <w:pStyle w:val="BodyText"/>
      </w:pPr>
      <w:r>
        <w:t xml:space="preserve">A verificação cobre os marcos já concluídos: Abertura, Discovery/Requisitos, Concepção/Design, Planejamento e a Sprint 1 (desenvolvimento, homologação e aceite). A independência é assegurada: o auditor não integra a equipe de execução (Gerente de Projeto, Tech Lead e desenvolvedores) nem a função de QA do produto.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verificação-de-aderência-ao-processo"/>
      <w:r>
        <w:t xml:space="preserve">2. Verificação de aderência ao processo</w:t>
      </w:r>
      <w:bookmarkEnd w:id="22"/>
    </w:p>
    <w:p>
      <w:pPr>
        <w:pStyle w:val="FirstParagraph"/>
      </w:pPr>
      <w:r>
        <w:t xml:space="preserve">Legenda: ✅ Conforme · ⚠ Observação · N/A não aplicável no momento.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Ponto de controle (GUIA-GPC-001 §3)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Abertura formal do projeto</w:t>
            </w:r>
          </w:p>
        </w:tc>
        <w:tc>
          <w:p>
            <w:pPr>
              <w:pStyle w:val="Compact"/>
              <w:jc w:val="left"/>
            </w:pPr>
            <w:r>
              <w:t xml:space="preserve">TAP-AASP01-001 aprovado (19/05/2026) e Ata de Kickoff (ATA-AASP01-001)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Requisitos especificados e validados com o cliente</w:t>
            </w:r>
          </w:p>
        </w:tc>
        <w:tc>
          <w:p>
            <w:pPr>
              <w:pStyle w:val="Compact"/>
              <w:jc w:val="left"/>
            </w:pPr>
            <w:r>
              <w:t xml:space="preserve">REQ-AASP01-001 (RF-01 a RF-09, RNF-01 a RNF-05) com critérios de aceite; validação por sprint registrada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Design técnico avaliado antes da construção</w:t>
            </w:r>
          </w:p>
        </w:tc>
        <w:tc>
          <w:p>
            <w:pPr>
              <w:pStyle w:val="Compact"/>
              <w:jc w:val="left"/>
            </w:pPr>
            <w:r>
              <w:t xml:space="preserve">PCP-AASP01-001 (v1.0, 26/05/2026) com arquitetura, modelo de dados e decisões (GDE-AASP01-001) revisados antes da Sprint 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Definição de Pronto a cada entrega (critérios de aceite, code review, verificação, homologação)</w:t>
            </w:r>
          </w:p>
        </w:tc>
        <w:tc>
          <w:p>
            <w:pPr>
              <w:pStyle w:val="Compact"/>
              <w:jc w:val="left"/>
            </w:pPr>
            <w:r>
              <w:t xml:space="preserve">REV-AASP01-001 (code review por PR), VV-AASP01-001, CTQ-AASP01-001 e gate de CI obrigatório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Aprovação do cliente antes da promoção para produção</w:t>
            </w:r>
          </w:p>
        </w:tc>
        <w:tc>
          <w:p>
            <w:pPr>
              <w:pStyle w:val="Compact"/>
              <w:jc w:val="left"/>
            </w:pPr>
            <w:r>
              <w:t xml:space="preserve">Aceite formal da Sprint 1 por Marcos Turnes (ATA-AASP01-002, 06/06/2026); homologação e produção final pendentes (projeto em curso)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Encerramento formal (Termo de Aceite e lições aprendidas)</w:t>
            </w:r>
          </w:p>
        </w:tc>
        <w:tc>
          <w:p>
            <w:pPr>
              <w:pStyle w:val="Compact"/>
              <w:jc w:val="left"/>
            </w:pPr>
            <w:r>
              <w:t xml:space="preserve">Previsto para a Sprint 3 (TAE e LI)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</w:rPr>
        <w:t xml:space="preserve">Gerência de Configuração (GCO 1–3):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GCO 1 — itens de configuração identificados</w:t>
            </w:r>
          </w:p>
        </w:tc>
        <w:tc>
          <w:p>
            <w:pPr>
              <w:pStyle w:val="Compact"/>
              <w:jc w:val="left"/>
            </w:pPr>
            <w:r>
              <w:t xml:space="preserve">GCO-AASP01-001 §3 (IC-01 a IC-06)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GCO 2 — controle de versões e baselines</w:t>
            </w:r>
          </w:p>
        </w:tc>
        <w:tc>
          <w:p>
            <w:pPr>
              <w:pStyle w:val="Compact"/>
              <w:jc w:val="left"/>
            </w:pPr>
            <w:r>
              <w:t xml:space="preserve">Baselines BL-01 (19/05) e BL-02 (06/06) com tags imutáveis; Git Flow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GCO 3 — controle de mudanças</w:t>
            </w:r>
          </w:p>
        </w:tc>
        <w:tc>
          <w:p>
            <w:pPr>
              <w:pStyle w:val="Compact"/>
              <w:jc w:val="left"/>
            </w:pPr>
            <w:r>
              <w:t xml:space="preserve">CR-AASP01-001 (registro de change requests; sem CR no período — escopo estável)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verificação-de-produtos-de-trabalho"/>
      <w:r>
        <w:t xml:space="preserve">3. Verificação de produtos de trabalho</w:t>
      </w:r>
      <w:bookmarkEnd w:id="23"/>
    </w:p>
    <w:p>
      <w:pPr>
        <w:pStyle w:val="FirstParagraph"/>
      </w:pPr>
      <w:r>
        <w:t xml:space="preserve">Legenda: ✅ Conforme (critérios verificados) · ⚠ NC identificada (ver §4) · ⏳ Pendente (Sprint futura) · N/A Não aplicável.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Produto de trabalho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Critérios verificados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Termo de Abertura</w:t>
            </w:r>
          </w:p>
        </w:tc>
        <w:tc>
          <w:p>
            <w:pPr>
              <w:pStyle w:val="Compact"/>
              <w:jc w:val="left"/>
            </w:pPr>
            <w:r>
              <w:t xml:space="preserve">TAP-AASP01-001</w:t>
            </w:r>
          </w:p>
        </w:tc>
        <w:tc>
          <w:p>
            <w:pPr>
              <w:pStyle w:val="Compact"/>
              <w:jc w:val="left"/>
            </w:pPr>
            <w:r>
              <w:t xml:space="preserve">Escopo definido; partes interessadas com contatos; macroplanejamento com datas; referências documentais; aprovação registrada</w:t>
            </w:r>
          </w:p>
        </w:tc>
        <w:tc>
          <w:p>
            <w:pPr>
              <w:pStyle w:val="Compact"/>
              <w:jc w:val="left"/>
            </w:pPr>
            <w:r>
              <w:t xml:space="preserve">⚠ NC-GQA-01: campo contato do GP vazio (</w:t>
            </w:r>
            <w:r>
              <w:t xml:space="preserve">“</w:t>
            </w:r>
            <w:r>
              <w:t xml:space="preserve">a confirmar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Plano de Projeto</w:t>
            </w:r>
          </w:p>
        </w:tc>
        <w:tc>
          <w:p>
            <w:pPr>
              <w:pStyle w:val="Compact"/>
              <w:jc w:val="left"/>
            </w:pPr>
            <w:r>
              <w:t xml:space="preserve">PLA-AASP01-001</w:t>
            </w:r>
          </w:p>
        </w:tc>
        <w:tc>
          <w:p>
            <w:pPr>
              <w:pStyle w:val="Compact"/>
              <w:jc w:val="left"/>
            </w:pPr>
            <w:r>
              <w:t xml:space="preserve">Cronograma com milestones; papéis e responsabilidades; plano de V&amp;V; registro de riscos; plano de comunicação</w:t>
            </w:r>
          </w:p>
        </w:tc>
        <w:tc>
          <w:p>
            <w:pPr>
              <w:pStyle w:val="Compact"/>
              <w:jc w:val="left"/>
            </w:pPr>
            <w:r>
              <w:t xml:space="preserve">⚠ NC-GQA-02: ausência de seção de encerramento (GPR RAP 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Registro de Adaptação</w:t>
            </w:r>
          </w:p>
        </w:tc>
        <w:tc>
          <w:p>
            <w:pPr>
              <w:pStyle w:val="Compact"/>
              <w:jc w:val="left"/>
            </w:pPr>
            <w:r>
              <w:t xml:space="preserve">ADAP-AASP01-001</w:t>
            </w:r>
          </w:p>
        </w:tc>
        <w:tc>
          <w:p>
            <w:pPr>
              <w:pStyle w:val="Compact"/>
              <w:jc w:val="left"/>
            </w:pPr>
            <w:r>
              <w:t xml:space="preserve">Adaptações com justificativa e mitigação; A-08 com aprovação registrada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Documento de Requisitos</w:t>
            </w:r>
          </w:p>
        </w:tc>
        <w:tc>
          <w:p>
            <w:pPr>
              <w:pStyle w:val="Compact"/>
              <w:jc w:val="left"/>
            </w:pPr>
            <w:r>
              <w:t xml:space="preserve">REQ-AASP01-001</w:t>
            </w:r>
          </w:p>
        </w:tc>
        <w:tc>
          <w:p>
            <w:pPr>
              <w:pStyle w:val="Compact"/>
              <w:jc w:val="left"/>
            </w:pPr>
            <w:r>
              <w:t xml:space="preserve">RFs com critérios de aceite testáveis; RNFs mensuráveis; rastreabilidade ao backlog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Matriz de Rastreabilidade</w:t>
            </w:r>
          </w:p>
        </w:tc>
        <w:tc>
          <w:p>
            <w:pPr>
              <w:pStyle w:val="Compact"/>
              <w:jc w:val="left"/>
            </w:pPr>
            <w:r>
              <w:t xml:space="preserve">RASTR-AASP01-001</w:t>
            </w:r>
          </w:p>
        </w:tc>
        <w:tc>
          <w:p>
            <w:pPr>
              <w:pStyle w:val="Compact"/>
              <w:jc w:val="left"/>
            </w:pPr>
            <w:r>
              <w:t xml:space="preserve">Cobertura RF→endpoint→teste; bidirecionalidade verificada para Sprint 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Documento de Design</w:t>
            </w:r>
          </w:p>
        </w:tc>
        <w:tc>
          <w:p>
            <w:pPr>
              <w:pStyle w:val="Compact"/>
              <w:jc w:val="left"/>
            </w:pPr>
            <w:r>
              <w:t xml:space="preserve">PCP-AASP01-001</w:t>
            </w:r>
          </w:p>
        </w:tc>
        <w:tc>
          <w:p>
            <w:pPr>
              <w:pStyle w:val="Compact"/>
              <w:jc w:val="left"/>
            </w:pPr>
            <w:r>
              <w:t xml:space="preserve">Modelo de dados com tabelas; decisões arquiteturais referenciadas no GDE; padrões de implementação definidos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Registro de Análise de Decisão</w:t>
            </w:r>
          </w:p>
        </w:tc>
        <w:tc>
          <w:p>
            <w:pPr>
              <w:pStyle w:val="Compact"/>
              <w:jc w:val="left"/>
            </w:pPr>
            <w:r>
              <w:t xml:space="preserve">GDE-AASP01-001</w:t>
            </w:r>
          </w:p>
        </w:tc>
        <w:tc>
          <w:p>
            <w:pPr>
              <w:pStyle w:val="Compact"/>
              <w:jc w:val="left"/>
            </w:pPr>
            <w:r>
              <w:t xml:space="preserve">Alternativas avaliadas com critérios ponderados; decisão registrada com responsável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Estratégia de Integração</w:t>
            </w:r>
          </w:p>
        </w:tc>
        <w:tc>
          <w:p>
            <w:pPr>
              <w:pStyle w:val="Compact"/>
              <w:jc w:val="left"/>
            </w:pPr>
            <w:r>
              <w:t xml:space="preserve">ITP-AASP01-001</w:t>
            </w:r>
          </w:p>
        </w:tc>
        <w:tc>
          <w:p>
            <w:pPr>
              <w:pStyle w:val="Compact"/>
              <w:jc w:val="left"/>
            </w:pPr>
            <w:r>
              <w:t xml:space="preserve">Interfaces identificadas; contrato INT-01 com ms.temis.vinculos em definição (Sprint 2)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Plano de Verificação e Validação</w:t>
            </w:r>
          </w:p>
        </w:tc>
        <w:tc>
          <w:p>
            <w:pPr>
              <w:pStyle w:val="Compact"/>
              <w:jc w:val="left"/>
            </w:pPr>
            <w:r>
              <w:t xml:space="preserve">VV-AASP01-001</w:t>
            </w:r>
          </w:p>
        </w:tc>
        <w:tc>
          <w:p>
            <w:pPr>
              <w:pStyle w:val="Compact"/>
              <w:jc w:val="left"/>
            </w:pPr>
            <w:r>
              <w:t xml:space="preserve">Níveis de teste definidos; critérios de qualidade; atividades por sprint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Cenários de Teste e Homologação</w:t>
            </w:r>
          </w:p>
        </w:tc>
        <w:tc>
          <w:p>
            <w:pPr>
              <w:pStyle w:val="Compact"/>
              <w:jc w:val="left"/>
            </w:pPr>
            <w:r>
              <w:t xml:space="preserve">CTQ-AASP01-001</w:t>
            </w:r>
          </w:p>
        </w:tc>
        <w:tc>
          <w:p>
            <w:pPr>
              <w:pStyle w:val="Compact"/>
              <w:jc w:val="left"/>
            </w:pPr>
            <w:r>
              <w:t xml:space="preserve">10 cenários Sprint 1 com pré-condição, passos e resultado esperado; todos executados 100% na Sprint 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Relatório de Execução de Testes</w:t>
            </w:r>
          </w:p>
        </w:tc>
        <w:tc>
          <w:p>
            <w:pPr>
              <w:pStyle w:val="Compact"/>
              <w:jc w:val="left"/>
            </w:pPr>
            <w:r>
              <w:t xml:space="preserve">REL-VV-AASP01-001</w:t>
            </w:r>
          </w:p>
        </w:tc>
        <w:tc>
          <w:p>
            <w:pPr>
              <w:pStyle w:val="Compact"/>
              <w:jc w:val="left"/>
            </w:pPr>
            <w:r>
              <w:t xml:space="preserve">Sprint 1 com testes unitários (22/22), code review (5 achados resolvidos), UAT (10/10 aprovados); aceite formal registrado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Registro de Revisão Técnica</w:t>
            </w:r>
          </w:p>
        </w:tc>
        <w:tc>
          <w:p>
            <w:pPr>
              <w:pStyle w:val="Compact"/>
              <w:jc w:val="left"/>
            </w:pPr>
            <w:r>
              <w:t xml:space="preserve">REV-AASP01-001</w:t>
            </w:r>
          </w:p>
        </w:tc>
        <w:tc>
          <w:p>
            <w:pPr>
              <w:pStyle w:val="Compact"/>
              <w:jc w:val="left"/>
            </w:pPr>
            <w:r>
              <w:t xml:space="preserve">4 sessões de code review; achados com severidade, resolução e MR correspondente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Registro de Gerência de Configuração</w:t>
            </w:r>
          </w:p>
        </w:tc>
        <w:tc>
          <w:p>
            <w:pPr>
              <w:pStyle w:val="Compact"/>
              <w:jc w:val="left"/>
            </w:pPr>
            <w:r>
              <w:t xml:space="preserve">GCO-AASP01-001</w:t>
            </w:r>
          </w:p>
        </w:tc>
        <w:tc>
          <w:p>
            <w:pPr>
              <w:pStyle w:val="Compact"/>
              <w:jc w:val="left"/>
            </w:pPr>
            <w:r>
              <w:t xml:space="preserve">ICs identificados; BL-01 e BL-02 com tags imutáveis; Git Flow; auditorias registradas</w:t>
            </w:r>
          </w:p>
        </w:tc>
        <w:tc>
          <w:p>
            <w:pPr>
              <w:pStyle w:val="Compact"/>
              <w:jc w:val="left"/>
            </w:pPr>
            <w:r>
              <w:t xml:space="preserve">⚠ NC-GQA-03: IC-05 declara 19 artefatos mas índice lista 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Registro de Medição</w:t>
            </w:r>
          </w:p>
        </w:tc>
        <w:tc>
          <w:p>
            <w:pPr>
              <w:pStyle w:val="Compact"/>
              <w:jc w:val="left"/>
            </w:pPr>
            <w:r>
              <w:t xml:space="preserve">MED-AASP01-001</w:t>
            </w:r>
          </w:p>
        </w:tc>
        <w:tc>
          <w:p>
            <w:pPr>
              <w:pStyle w:val="Compact"/>
              <w:jc w:val="left"/>
            </w:pPr>
            <w:r>
              <w:t xml:space="preserve">Métricas M1–M8 definidas com meta; Sprint 1 coletada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Relatório de Acompanhamento</w:t>
            </w:r>
          </w:p>
        </w:tc>
        <w:tc>
          <w:p>
            <w:pPr>
              <w:pStyle w:val="Compact"/>
              <w:jc w:val="left"/>
            </w:pPr>
            <w:r>
              <w:t xml:space="preserve">RAC-AASP01-001</w:t>
            </w:r>
          </w:p>
        </w:tc>
        <w:tc>
          <w:p>
            <w:pPr>
              <w:pStyle w:val="Compact"/>
              <w:jc w:val="left"/>
            </w:pPr>
            <w:r>
              <w:t xml:space="preserve">Sprint 1 concluída; Sprint 2 com 7 dias decorridos e AG-23/AG-24 não iniciados — risco registrado em §3.2</w:t>
            </w:r>
          </w:p>
        </w:tc>
        <w:tc>
          <w:p>
            <w:pPr>
              <w:pStyle w:val="Compact"/>
              <w:jc w:val="left"/>
            </w:pPr>
            <w:r>
              <w:t xml:space="preserve">⚠ NC-GQA-04 (OM): ações corretivas para o atraso de AG-23/AG-24 não documentadas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Registro de Change Requests</w:t>
            </w:r>
          </w:p>
        </w:tc>
        <w:tc>
          <w:p>
            <w:pPr>
              <w:pStyle w:val="Compact"/>
              <w:jc w:val="left"/>
            </w:pPr>
            <w:r>
              <w:t xml:space="preserve">CR-AASP01-001</w:t>
            </w:r>
          </w:p>
        </w:tc>
        <w:tc>
          <w:p>
            <w:pPr>
              <w:pStyle w:val="Compact"/>
              <w:jc w:val="left"/>
            </w:pPr>
            <w:r>
              <w:t xml:space="preserve">Processo de CR definido; zero CRs registrados —</w:t>
            </w:r>
          </w:p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2026-07-01T12:41:48Z</dcterms:created>
  <dcterms:modified xsi:type="dcterms:W3CDTF">2026-07-01T12:41:48Z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