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476b66515fd1e96eea8ea1597893bbddb4e065"/>
      <w:r>
        <w:t xml:space="preserve">Estratégia de Integração — AASP Gerenciador · Grupos de Usuários</w:t>
      </w:r>
      <w:bookmarkEnd w:id="20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Documento</w:t>
            </w:r>
          </w:p>
        </w:tc>
        <w:tc>
          <w:p>
            <w:pPr>
              <w:pStyle w:val="Compact"/>
              <w:jc w:val="left"/>
            </w:pPr>
            <w:r>
              <w:t xml:space="preserve">ITP-AASP01-001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Projeto</w:t>
            </w:r>
          </w:p>
        </w:tc>
        <w:tc>
          <w:p>
            <w:pPr>
              <w:pStyle w:val="Compact"/>
              <w:jc w:val="left"/>
            </w:pPr>
            <w:r>
              <w:t xml:space="preserve">AG — Grupos de Usuários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Cliente</w:t>
            </w:r>
          </w:p>
        </w:tc>
        <w:tc>
          <w:p>
            <w:pPr>
              <w:pStyle w:val="Compact"/>
              <w:jc w:val="left"/>
            </w:pPr>
            <w:r>
              <w:t xml:space="preserve">AASP — Associação dos Advogados de São Paulo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Produto</w:t>
            </w:r>
          </w:p>
        </w:tc>
        <w:tc>
          <w:p>
            <w:pPr>
              <w:pStyle w:val="Compact"/>
              <w:jc w:val="left"/>
            </w:pPr>
            <w:r>
              <w:t xml:space="preserve">ms.auxo.usuarios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Repositório</w:t>
            </w:r>
          </w:p>
        </w:tc>
        <w:tc>
          <w:p>
            <w:pPr>
              <w:pStyle w:val="Compact"/>
              <w:jc w:val="left"/>
            </w:pPr>
            <w:r>
              <w:t xml:space="preserve">GitLab · http://191.234.192.153/aasp/ms.auxo.usuarios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GP / Tech Lead</w:t>
            </w:r>
          </w:p>
        </w:tc>
        <w:tc>
          <w:p>
            <w:pPr>
              <w:pStyle w:val="Compact"/>
              <w:jc w:val="left"/>
            </w:pPr>
            <w:r>
              <w:t xml:space="preserve">Abraão (GP) · Cezar Hiraki (TL) — Timeware Brasil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Desenvolvedores</w:t>
            </w:r>
          </w:p>
        </w:tc>
        <w:tc>
          <w:p>
            <w:pPr>
              <w:pStyle w:val="Compact"/>
              <w:jc w:val="left"/>
            </w:pPr>
            <w:r>
              <w:t xml:space="preserve">Renan Kiyoshi, Henry Komatsu, Mateus Veloso — Timeware Brasil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PO</w:t>
            </w:r>
          </w:p>
        </w:tc>
        <w:tc>
          <w:p>
            <w:pPr>
              <w:pStyle w:val="Compact"/>
              <w:jc w:val="left"/>
            </w:pPr>
            <w:r>
              <w:t xml:space="preserve">Marcos Turnes — AASP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QA</w:t>
            </w:r>
          </w:p>
        </w:tc>
        <w:tc>
          <w:p>
            <w:pPr>
              <w:pStyle w:val="Compact"/>
              <w:jc w:val="left"/>
            </w:pPr>
            <w:r>
              <w:t xml:space="preserve">Leonardo Francisco Pereira — AASP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Data base</w:t>
            </w:r>
          </w:p>
        </w:tc>
        <w:tc>
          <w:p>
            <w:pPr>
              <w:pStyle w:val="Compact"/>
              <w:jc w:val="left"/>
            </w:pPr>
            <w:r>
              <w:t xml:space="preserve">01/07/2026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Versão</w:t>
            </w:r>
          </w:p>
        </w:tc>
        <w:tc>
          <w:p>
            <w:pPr>
              <w:pStyle w:val="Compact"/>
              <w:jc w:val="left"/>
            </w:pPr>
            <w:r>
              <w:t xml:space="preserve">1.3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Ativo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objetivo"/>
      <w:r>
        <w:t xml:space="preserve">1. Objetivo</w:t>
      </w:r>
      <w:bookmarkEnd w:id="21"/>
    </w:p>
    <w:p>
      <w:pPr>
        <w:pStyle w:val="FirstParagraph"/>
      </w:pPr>
      <w:r>
        <w:t xml:space="preserve">Descrever a estratégia de integração do microsserviço ms.auxo.usuarios com os demais componentes do sistema Gerenciador AASP, definindo a ordem de integração, os critérios de prontidão de cada fase, os ambientes utilizados e os resultados esperados. Este documento serve como evidência do processo de Integração (INT) e Verificação (VER) do nível C do MPS.BR.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visão-geral-da-integração"/>
      <w:r>
        <w:t xml:space="preserve">2. Visão Geral da Integração</w:t>
      </w:r>
      <w:bookmarkEnd w:id="22"/>
    </w:p>
    <w:p>
      <w:pPr>
        <w:pStyle w:val="FirstParagraph"/>
      </w:pPr>
      <w:r>
        <w:t xml:space="preserve">O ms.auxo.usuarios é um microsserviço desenvolvido em .NET 5.0 (net5.0) com Dapper e SQL Server, responsável pelo gerenciamento de grupos de usuários no ecossistema do Gerenciador AASP. Os endpoints são expostos pelo controller</w:t>
      </w:r>
      <w:r>
        <w:t xml:space="preserve"> </w:t>
      </w:r>
      <w:r>
        <w:rPr>
          <w:rStyle w:val="VerbatimChar"/>
        </w:rPr>
        <w:t xml:space="preserve">GerenciarGruposController</w:t>
      </w:r>
      <w:r>
        <w:t xml:space="preserve"> </w:t>
      </w:r>
      <w:r>
        <w:t xml:space="preserve">(rota base</w:t>
      </w:r>
      <w:r>
        <w:t xml:space="preserve"> </w:t>
      </w:r>
      <w:r>
        <w:rPr>
          <w:rStyle w:val="VerbatimChar"/>
        </w:rPr>
        <w:t xml:space="preserve">api/gerenciar/grupos</w:t>
      </w:r>
      <w:r>
        <w:t xml:space="preserve">, verbos GET/POST). Ele se integra com os seguintes componentes: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Internamente (banco auxo3):</w:t>
      </w:r>
      <w:r>
        <w:t xml:space="preserve"> </w:t>
      </w:r>
      <w:r>
        <w:t xml:space="preserve">endpoints auto-contidos para CRUD de grupos, função do usuário no grupo e vínculo usuário-grupo. Tabelas:</w:t>
      </w:r>
      <w:r>
        <w:t xml:space="preserve"> </w:t>
      </w:r>
      <w:r>
        <w:rPr>
          <w:rStyle w:val="VerbatimChar"/>
        </w:rPr>
        <w:t xml:space="preserve">grupos_usuarios</w:t>
      </w:r>
      <w:r>
        <w:t xml:space="preserve">,</w:t>
      </w:r>
      <w:r>
        <w:t xml:space="preserve"> </w:t>
      </w:r>
      <w:r>
        <w:rPr>
          <w:rStyle w:val="VerbatimChar"/>
        </w:rPr>
        <w:t xml:space="preserve">grupos_usuarios_vinculos</w:t>
      </w:r>
      <w:r>
        <w:t xml:space="preserve">,</w:t>
      </w:r>
      <w:r>
        <w:t xml:space="preserve"> </w:t>
      </w:r>
      <w:r>
        <w:rPr>
          <w:rStyle w:val="VerbatimChar"/>
        </w:rPr>
        <w:t xml:space="preserve">grupos_usuarios_funcao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ms.temis.vinculos (banco temis3):</w:t>
      </w:r>
      <w:r>
        <w:t xml:space="preserve"> </w:t>
      </w:r>
      <w:r>
        <w:rPr>
          <w:i/>
        </w:rPr>
        <w:t xml:space="preserve">(planejado — Sprint 2)</w:t>
      </w:r>
      <w:r>
        <w:t xml:space="preserve"> </w:t>
      </w:r>
      <w:r>
        <w:t xml:space="preserve">microsserviço externo para sincronização de vínculos no domínio Temis, a ser acessado via HTTP REST.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Sistema Gerenciador AASP (frontend/BFF):</w:t>
      </w:r>
      <w:r>
        <w:t xml:space="preserve"> </w:t>
      </w:r>
      <w:r>
        <w:t xml:space="preserve">consumidor dos endpoints do ms.auxo.usuarios, autenticado via JWT Bearer Token emitido pelo sistema de autenticação central.</w:t>
      </w:r>
    </w:p>
    <w:p>
      <w:pPr>
        <w:pStyle w:val="FirstParagraph"/>
      </w:pPr>
      <w:r>
        <w:rPr>
          <w:b/>
        </w:rPr>
        <w:t xml:space="preserve">Abordagem geral:</w:t>
      </w:r>
      <w:r>
        <w:t xml:space="preserve"> </w:t>
      </w:r>
      <w:r>
        <w:t xml:space="preserve">integração incremental por componente e por sprint. A Sprint 1 valida os componentes internos (CRUD, função, vínculos). A Sprint 2 integra o ms.temis.vinculos e implementa a auditoria. A Sprint 3 valida o relatório consolidado.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ordem-de-integração-dos-componentes"/>
      <w:r>
        <w:t xml:space="preserve">3. Ordem de Integração dos Componentes</w:t>
      </w:r>
      <w:bookmarkEnd w:id="23"/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Sprint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Componente Integrado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Critério de Prontidão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Fase 1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CRUD de grupos (AG-20)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listargrupo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buscargrupoporid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incluirgrupo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alterargrupo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excluirgrupo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ativardesativar</w:t>
            </w:r>
          </w:p>
        </w:tc>
        <w:tc>
          <w:p>
            <w:pPr>
              <w:pStyle w:val="Compact"/>
              <w:jc w:val="left"/>
            </w:pPr>
            <w:r>
              <w:t xml:space="preserve">Build verde + MRs !1 e !2 aprovados + casos GRP-01 a GRP-07 passando</w:t>
            </w:r>
          </w:p>
        </w:tc>
        <w:tc>
          <w:p>
            <w:pPr>
              <w:pStyle w:val="Compact"/>
              <w:jc w:val="left"/>
            </w:pPr>
            <w:r>
              <w:t xml:space="preserve">✅ Concluído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Fase 1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Função do usuário no grupo (AG-21)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alterarfuncaodousuario</w:t>
            </w:r>
          </w:p>
        </w:tc>
        <w:tc>
          <w:p>
            <w:pPr>
              <w:pStyle w:val="Compact"/>
              <w:jc w:val="left"/>
            </w:pPr>
            <w:r>
              <w:t xml:space="preserve">MR !3 aprovado + caso FUNC-01 passando</w:t>
            </w:r>
          </w:p>
        </w:tc>
        <w:tc>
          <w:p>
            <w:pPr>
              <w:pStyle w:val="Compact"/>
              <w:jc w:val="left"/>
            </w:pPr>
            <w:r>
              <w:t xml:space="preserve">✅ Concluído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Fase 1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Vínculo usuário-grupo (AG-22)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incluirgrupo</w:t>
            </w:r>
            <w:r>
              <w:t xml:space="preserve">/</w:t>
            </w:r>
            <w:r>
              <w:rPr>
                <w:rStyle w:val="VerbatimChar"/>
              </w:rPr>
              <w:t xml:space="preserve">alterargrupo</w:t>
            </w:r>
            <w:r>
              <w:t xml:space="preserve"> </w:t>
            </w:r>
            <w:r>
              <w:t xml:space="preserve">(GrupoDeUsuarios) ·</w:t>
            </w:r>
            <w:r>
              <w:t xml:space="preserve"> </w:t>
            </w:r>
            <w:r>
              <w:rPr>
                <w:rStyle w:val="VerbatimChar"/>
              </w:rPr>
              <w:t xml:space="preserve">removerusuario</w:t>
            </w:r>
          </w:p>
        </w:tc>
        <w:tc>
          <w:p>
            <w:pPr>
              <w:pStyle w:val="Compact"/>
              <w:jc w:val="left"/>
            </w:pPr>
            <w:r>
              <w:t xml:space="preserve">MRs !4 e !5 aprovados + casos VINC-01, VINC-02 passando</w:t>
            </w:r>
          </w:p>
        </w:tc>
        <w:tc>
          <w:p>
            <w:pPr>
              <w:pStyle w:val="Compact"/>
              <w:jc w:val="left"/>
            </w:pPr>
            <w:r>
              <w:t xml:space="preserve">✅ Concluído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Fase 2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Auditoria de ações (AG-23)</w:t>
            </w:r>
          </w:p>
        </w:tc>
        <w:tc>
          <w:p>
            <w:pPr>
              <w:pStyle w:val="Compact"/>
              <w:jc w:val="left"/>
            </w:pPr>
            <w:r>
              <w:t xml:space="preserve">interceptor de auditoria + tabela</w:t>
            </w:r>
            <w:r>
              <w:t xml:space="preserve"> </w:t>
            </w:r>
            <w:r>
              <w:rPr>
                <w:rStyle w:val="VerbatimChar"/>
              </w:rPr>
              <w:t xml:space="preserve">auditoria_grupos</w:t>
            </w:r>
          </w:p>
        </w:tc>
        <w:tc>
          <w:p>
            <w:pPr>
              <w:pStyle w:val="Compact"/>
              <w:jc w:val="left"/>
            </w:pPr>
            <w:r>
              <w:t xml:space="preserve">MR !6 aprovado; casos AUD-01 e AUD-02 aprovados</w:t>
            </w:r>
          </w:p>
        </w:tc>
        <w:tc>
          <w:p>
            <w:pPr>
              <w:pStyle w:val="Compact"/>
              <w:jc w:val="left"/>
            </w:pPr>
            <w:r>
              <w:t xml:space="preserve">✅ Concluído — aceite 20/06/2026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Fase 2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Integração ms.temis.vinculos (AG-24)</w:t>
            </w:r>
          </w:p>
        </w:tc>
        <w:tc>
          <w:p>
            <w:pPr>
              <w:pStyle w:val="Compact"/>
              <w:jc w:val="left"/>
            </w:pPr>
            <w:r>
              <w:t xml:space="preserve">HTTP REST</w:t>
            </w:r>
            <w:r>
              <w:t xml:space="preserve"> </w:t>
            </w:r>
            <w:r>
              <w:rPr>
                <w:rStyle w:val="VerbatimChar"/>
              </w:rPr>
              <w:t xml:space="preserve">api/gerenciar/grupos/vinculados</w:t>
            </w:r>
            <w:r>
              <w:t xml:space="preserve">; cliente com timeout 5s + retry 2x</w:t>
            </w:r>
          </w:p>
        </w:tc>
        <w:tc>
          <w:p>
            <w:pPr>
              <w:pStyle w:val="Compact"/>
              <w:jc w:val="left"/>
            </w:pPr>
            <w:r>
              <w:t xml:space="preserve">MR !7 aprovado; casos INT-01 e INT-02 aprovados</w:t>
            </w:r>
          </w:p>
        </w:tc>
        <w:tc>
          <w:p>
            <w:pPr>
              <w:pStyle w:val="Compact"/>
              <w:jc w:val="left"/>
            </w:pPr>
            <w:r>
              <w:t xml:space="preserve">✅ Concluído — aceite 20/06/2026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Fase 3</w:t>
            </w:r>
          </w:p>
        </w:tc>
        <w:tc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p>
            <w:pPr>
              <w:pStyle w:val="Compact"/>
              <w:jc w:val="left"/>
            </w:pPr>
            <w:r>
              <w:t xml:space="preserve">Relatório consolidado (AG-25)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(planejado — não implementado)</w:t>
            </w:r>
          </w:p>
        </w:tc>
        <w:tc>
          <w:p>
            <w:pPr>
              <w:pStyle w:val="Compact"/>
              <w:jc w:val="left"/>
            </w:pPr>
            <w:r>
              <w:t xml:space="preserve">Relatório retornando dados corretos + caso REL-01 aprovado</w:t>
            </w:r>
          </w:p>
        </w:tc>
        <w:tc>
          <w:p>
            <w:pPr>
              <w:pStyle w:val="Compact"/>
              <w:jc w:val="left"/>
            </w:pPr>
            <w:r>
              <w:t xml:space="preserve">📅 Planejado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descrição-das-interfaces-de-integração"/>
      <w:r>
        <w:t xml:space="preserve">4. Descrição das Interfaces de Integração</w:t>
      </w:r>
      <w:bookmarkEnd w:id="24"/>
    </w:p>
    <w:p>
      <w:pPr>
        <w:pStyle w:val="Heading3"/>
      </w:pPr>
      <w:bookmarkStart w:id="25" w:name="X3eaa2eb0c03d084014d9f5f306144310d54c097"/>
      <w:r>
        <w:t xml:space="preserve">4.1 Interface INT-01 — ms.auxo.usuarios → ms.temis.vinculos — ✅ Implementada na Sprint 2</w:t>
      </w:r>
      <w:bookmarkEnd w:id="25"/>
    </w:p>
    <w:p>
      <w:pPr>
        <w:pStyle w:val="FirstParagraph"/>
      </w:pPr>
      <w:r>
        <w:t xml:space="preserve">Esta interface foi implementada na Sprint 2 (AG-24, MR !7). O objetivo é manter o banco temis3 sincronizado com o estado dos vínculos no banco auxo3 sempre que um membro de grupo é alterado.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Tipo</w:t>
            </w:r>
          </w:p>
        </w:tc>
        <w:tc>
          <w:p>
            <w:pPr>
              <w:pStyle w:val="Compact"/>
              <w:jc w:val="left"/>
            </w:pPr>
            <w:r>
              <w:t xml:space="preserve">HTTP REST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Componente destino</w:t>
            </w:r>
          </w:p>
        </w:tc>
        <w:tc>
          <w:p>
            <w:pPr>
              <w:pStyle w:val="Compact"/>
              <w:jc w:val="left"/>
            </w:pPr>
            <w:r>
              <w:t xml:space="preserve">ms.temis.vinculos — endpoint</w:t>
            </w:r>
            <w:r>
              <w:t xml:space="preserve"> </w:t>
            </w:r>
            <w:r>
              <w:rPr>
                <w:rStyle w:val="VerbatimChar"/>
              </w:rPr>
              <w:t xml:space="preserve">api/gerenciar/grupos/vinculados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Quando é chamado</w:t>
            </w:r>
          </w:p>
        </w:tc>
        <w:tc>
          <w:p>
            <w:pPr>
              <w:pStyle w:val="Compact"/>
              <w:jc w:val="left"/>
            </w:pPr>
            <w:r>
              <w:t xml:space="preserve">Após alteração de vínculo de usuário (inclusão/alteração/remoção de membro)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Contrato</w:t>
            </w:r>
          </w:p>
        </w:tc>
        <w:tc>
          <w:p>
            <w:pPr>
              <w:pStyle w:val="Compact"/>
              <w:jc w:val="left"/>
            </w:pPr>
            <w:r>
              <w:t xml:space="preserve">Definido no início da Sprint 2 (09/06/2026) com equipe AASP — ver CAP C-04 e ADAP A-03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Comportamento de falha</w:t>
            </w:r>
          </w:p>
        </w:tc>
        <w:tc>
          <w:p>
            <w:pPr>
              <w:pStyle w:val="Compact"/>
              <w:jc w:val="left"/>
            </w:pPr>
            <w:r>
              <w:t xml:space="preserve">Fault-tolerant: timeout 5 s + retry 2 tentativas; falha gera log de erro sem interromper a operação de negócio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Autenticação</w:t>
            </w:r>
          </w:p>
        </w:tc>
        <w:tc>
          <w:p>
            <w:pPr>
              <w:pStyle w:val="Compact"/>
              <w:jc w:val="left"/>
            </w:pPr>
            <w:r>
              <w:t xml:space="preserve">Service-to-service; credenciais gerenciadas exclusivamente via variáveis de ambiente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Casos de teste</w:t>
            </w:r>
          </w:p>
        </w:tc>
        <w:tc>
          <w:p>
            <w:pPr>
              <w:pStyle w:val="Compact"/>
              <w:jc w:val="left"/>
            </w:pPr>
            <w:r>
              <w:t xml:space="preserve">INT-01 (happy path), INT-02 (fallback de indisponibilidade) — executados e aprovados em 20/06/2026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✅ Implementada e validada (MR !7, aceite 20/06/2026)</w:t>
            </w:r>
          </w:p>
        </w:tc>
      </w:tr>
    </w:tbl>
    <w:p>
      <w:pPr>
        <w:pStyle w:val="Heading3"/>
      </w:pPr>
      <w:bookmarkStart w:id="26" w:name="Xbd828d586a698b7e5e428eb530f03db6f202d02"/>
      <w:r>
        <w:t xml:space="preserve">4.2 Interface INT-02 — Sistema Gerenciador AASP → ms.auxo.usuarios</w:t>
      </w:r>
      <w:bookmarkEnd w:id="26"/>
    </w:p>
    <w:p>
      <w:pPr>
        <w:pStyle w:val="FirstParagraph"/>
      </w:pPr>
      <w:r>
        <w:t xml:space="preserve">Esta interface representa o consumo dos endpoints do ms.auxo.usuarios pelo frontend ou BFF do Gerenciador AASP.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Tipo</w:t>
            </w:r>
          </w:p>
        </w:tc>
        <w:tc>
          <w:p>
            <w:pPr>
              <w:pStyle w:val="Compact"/>
              <w:jc w:val="left"/>
            </w:pPr>
            <w:r>
              <w:t xml:space="preserve">HTTP REST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Autenticação</w:t>
            </w:r>
          </w:p>
        </w:tc>
        <w:tc>
          <w:p>
            <w:pPr>
              <w:pStyle w:val="Compact"/>
              <w:jc w:val="left"/>
            </w:pPr>
            <w:r>
              <w:t xml:space="preserve">JWT Bearer Token emitido pelo sistema de autenticação central do Gerenciador AASP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Escopo</w:t>
            </w:r>
          </w:p>
        </w:tc>
        <w:tc>
          <w:p>
            <w:pPr>
              <w:pStyle w:val="Compact"/>
              <w:jc w:val="left"/>
            </w:pPr>
            <w:r>
              <w:t xml:space="preserve">Todos os endpoints</w:t>
            </w:r>
            <w:r>
              <w:t xml:space="preserve"> </w:t>
            </w:r>
            <w:r>
              <w:rPr>
                <w:rStyle w:val="VerbatimChar"/>
              </w:rPr>
              <w:t xml:space="preserve">api/gerenciar/grupos/*</w:t>
            </w:r>
            <w:r>
              <w:t xml:space="preserve"> </w:t>
            </w:r>
            <w:r>
              <w:t xml:space="preserve">exigem token JWT válido com as claims apropriadas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Validação</w:t>
            </w:r>
          </w:p>
        </w:tc>
        <w:tc>
          <w:p>
            <w:pPr>
              <w:pStyle w:val="Compact"/>
              <w:jc w:val="left"/>
            </w:pPr>
            <w:r>
              <w:t xml:space="preserve">Middleware de autenticação validado nos MRs !1 e !2 (Sprint 1)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✅ Validado em Sprint 1 (testes de integração e code review)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ambiente-de-integração"/>
      <w:r>
        <w:t xml:space="preserve">5. Ambiente de Integração</w:t>
      </w:r>
      <w:bookmarkEnd w:id="27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Banco de Dados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Disponibilidade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Desenvolvimento</w:t>
            </w:r>
          </w:p>
        </w:tc>
        <w:tc>
          <w:p>
            <w:pPr>
              <w:pStyle w:val="Compact"/>
              <w:jc w:val="left"/>
            </w:pPr>
            <w:r>
              <w:t xml:space="preserve">Máquinas dos desenvolvedores (Timeware)</w:t>
            </w:r>
          </w:p>
        </w:tc>
        <w:tc>
          <w:p>
            <w:pPr>
              <w:pStyle w:val="Compact"/>
              <w:jc w:val="left"/>
            </w:pPr>
            <w:r>
              <w:t xml:space="preserve">SQL Server local — auxo3 dev</w:t>
            </w:r>
          </w:p>
        </w:tc>
        <w:tc>
          <w:p>
            <w:pPr>
              <w:pStyle w:val="Compact"/>
              <w:jc w:val="left"/>
            </w:pPr>
            <w:r>
              <w:t xml:space="preserve">Sprint 1 em diante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Integração contínua</w:t>
            </w:r>
          </w:p>
        </w:tc>
        <w:tc>
          <w:p>
            <w:pPr>
              <w:pStyle w:val="Compact"/>
              <w:jc w:val="left"/>
            </w:pPr>
            <w:r>
              <w:t xml:space="preserve">Pipeline GitLab CI (build + testes a cada MR)</w:t>
            </w:r>
          </w:p>
        </w:tc>
        <w:tc>
          <w:p>
            <w:pPr>
              <w:pStyle w:val="Compact"/>
              <w:jc w:val="left"/>
            </w:pPr>
            <w:r>
              <w:t xml:space="preserve">SQL Server em container (CI)</w:t>
            </w:r>
          </w:p>
        </w:tc>
        <w:tc>
          <w:p>
            <w:pPr>
              <w:pStyle w:val="Compact"/>
              <w:jc w:val="left"/>
            </w:pPr>
            <w:r>
              <w:t xml:space="preserve">Ativo desde Sprint 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Homologação</w:t>
            </w:r>
          </w:p>
        </w:tc>
        <w:tc>
          <w:p>
            <w:pPr>
              <w:pStyle w:val="Compact"/>
              <w:jc w:val="left"/>
            </w:pPr>
            <w:r>
              <w:t xml:space="preserve">Ambiente AASP — instância dedicada com dados anonimizados</w:t>
            </w:r>
          </w:p>
        </w:tc>
        <w:tc>
          <w:p>
            <w:pPr>
              <w:pStyle w:val="Compact"/>
              <w:jc w:val="left"/>
            </w:pPr>
            <w:r>
              <w:t xml:space="preserve">SQL Server AASP — auxo3 e temis3</w:t>
            </w:r>
          </w:p>
        </w:tc>
        <w:tc>
          <w:p>
            <w:pPr>
              <w:pStyle w:val="Compact"/>
              <w:jc w:val="left"/>
            </w:pPr>
            <w:r>
              <w:t xml:space="preserve">Disponível desde Sprint 1; temis3 utilizado na Sprint 2 (AG-24)</w:t>
            </w:r>
          </w:p>
        </w:tc>
      </w:tr>
    </w:tbl>
    <w:p>
      <w:pPr>
        <w:pStyle w:val="BodyText"/>
      </w:pPr>
      <w:r>
        <w:rPr>
          <w:b/>
        </w:rPr>
        <w:t xml:space="preserve">Observação de segurança:</w:t>
      </w:r>
      <w:r>
        <w:t xml:space="preserve"> </w:t>
      </w:r>
      <w:r>
        <w:t xml:space="preserve">as connection strings e quaisquer segredos de integração são gerenciados exclusivamente via variáveis de ambiente, sem nenhum valor hardcoded no código-fonte ou nos arquivos de configuração versionados.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critérios-de-aceite-de-integração"/>
      <w:r>
        <w:t xml:space="preserve">6. Critérios de Aceite de Integração</w:t>
      </w:r>
      <w:bookmarkEnd w:id="28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Critério de Aceite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Atual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INT-01 (ms.temis.vinculos)</w:t>
            </w:r>
          </w:p>
        </w:tc>
        <w:tc>
          <w:p>
            <w:pPr>
              <w:pStyle w:val="Compact"/>
              <w:jc w:val="left"/>
            </w:pPr>
            <w:r>
              <w:t xml:space="preserve">Sincronização bem-sucedida após alteração de vínculo; comportamento fault-tolerant em caso de falha</w:t>
            </w:r>
          </w:p>
        </w:tc>
        <w:tc>
          <w:p>
            <w:pPr>
              <w:pStyle w:val="Compact"/>
              <w:jc w:val="left"/>
            </w:pPr>
            <w:r>
              <w:t xml:space="preserve">100% dos cenários INT-01 e INT-02 passando</w:t>
            </w:r>
          </w:p>
        </w:tc>
        <w:tc>
          <w:p>
            <w:pPr>
              <w:pStyle w:val="Compact"/>
              <w:jc w:val="left"/>
            </w:pPr>
            <w:r>
              <w:t xml:space="preserve">✅ Sprint 2 (concluído — aceite 20/06/2026)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INT-02 (Gerenciador AASP)</w:t>
            </w:r>
          </w:p>
        </w:tc>
        <w:tc>
          <w:p>
            <w:pPr>
              <w:pStyle w:val="Compact"/>
              <w:jc w:val="left"/>
            </w:pPr>
            <w:r>
              <w:t xml:space="preserve">Todos os endpoints respondem corretamente com JWT válido e rejeitam requisições sem token</w:t>
            </w:r>
          </w:p>
        </w:tc>
        <w:tc>
          <w:p>
            <w:pPr>
              <w:pStyle w:val="Compact"/>
              <w:jc w:val="left"/>
            </w:pPr>
            <w:r>
              <w:t xml:space="preserve">100% dos testes de autenticação passando</w:t>
            </w:r>
          </w:p>
        </w:tc>
        <w:tc>
          <w:p>
            <w:pPr>
              <w:pStyle w:val="Compact"/>
              <w:jc w:val="left"/>
            </w:pPr>
            <w:r>
              <w:t xml:space="preserve">✅ Sprint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Relatório (AG-25)</w:t>
            </w:r>
          </w:p>
        </w:tc>
        <w:tc>
          <w:p>
            <w:pPr>
              <w:pStyle w:val="Compact"/>
              <w:jc w:val="left"/>
            </w:pPr>
            <w:r>
              <w:t xml:space="preserve">Relatório consolidado retorna dados corretos</w:t>
            </w:r>
          </w:p>
        </w:tc>
        <w:tc>
          <w:p>
            <w:pPr>
              <w:pStyle w:val="Compact"/>
              <w:jc w:val="left"/>
            </w:pPr>
            <w:r>
              <w:t xml:space="preserve">Caso REL-01 aprovado por QA</w:t>
            </w:r>
          </w:p>
        </w:tc>
        <w:tc>
          <w:p>
            <w:pPr>
              <w:pStyle w:val="Compact"/>
              <w:jc w:val="left"/>
            </w:pPr>
            <w:r>
              <w:t xml:space="preserve">📅 Sprint 3 (planejado)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histórico-de-revisões"/>
      <w:r>
        <w:t xml:space="preserve">Histórico de Revisões</w:t>
      </w:r>
      <w:bookmarkEnd w:id="29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26/05/2026</w:t>
            </w:r>
          </w:p>
        </w:tc>
        <w:tc>
          <w:p>
            <w:pPr>
              <w:pStyle w:val="Compact"/>
              <w:jc w:val="left"/>
            </w:pPr>
            <w:r>
              <w:t xml:space="preserve">Abraão</w:t>
            </w:r>
          </w:p>
        </w:tc>
        <w:tc>
          <w:p>
            <w:pPr>
              <w:pStyle w:val="Compact"/>
              <w:jc w:val="left"/>
            </w:pPr>
            <w:r>
              <w:t xml:space="preserve">Versão inicial — estratégia de integração do projeto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p>
            <w:pPr>
              <w:pStyle w:val="Compact"/>
              <w:jc w:val="left"/>
            </w:pPr>
            <w:r>
              <w:t xml:space="preserve">15/06/2026</w:t>
            </w:r>
          </w:p>
        </w:tc>
        <w:tc>
          <w:p>
            <w:pPr>
              <w:pStyle w:val="Compact"/>
              <w:jc w:val="left"/>
            </w:pPr>
            <w:r>
              <w:t xml:space="preserve">Abraão</w:t>
            </w:r>
          </w:p>
        </w:tc>
        <w:tc>
          <w:p>
            <w:pPr>
              <w:pStyle w:val="Compact"/>
              <w:jc w:val="left"/>
            </w:pPr>
            <w:r>
              <w:t xml:space="preserve">Alinhado à API real (endpoints</w:t>
            </w:r>
            <w:r>
              <w:t xml:space="preserve"> </w:t>
            </w:r>
            <w:r>
              <w:rPr>
                <w:rStyle w:val="VerbatimChar"/>
              </w:rPr>
              <w:t xml:space="preserve">api/gerenciar/grupos</w:t>
            </w:r>
            <w:r>
              <w:t xml:space="preserve">); integração ms.temis e auditoria marcadas como planej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2026-07-01T12:41:48Z</dcterms:created>
  <dcterms:modified xsi:type="dcterms:W3CDTF">2026-07-01T12:41:48Z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