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-aasp01-001-plano-de-projeto"/>
      <w:r>
        <w:t xml:space="preserve">PLA-AASP01-001 — Plano de Projeto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PLA-AASP01-001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AASP01 — Grupos de Usuários (Feature AG)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p>
            <w:pPr>
              <w:pStyle w:val="Compact"/>
              <w:jc w:val="left"/>
            </w:pPr>
            <w:r>
              <w:t xml:space="preserve">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Vigente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-do-plano"/>
      <w:r>
        <w:t xml:space="preserve">1. Objetivo do Plano</w:t>
      </w:r>
      <w:bookmarkEnd w:id="21"/>
    </w:p>
    <w:p>
      <w:pPr>
        <w:pStyle w:val="FirstParagraph"/>
      </w:pPr>
      <w:r>
        <w:t xml:space="preserve">Este documento define o planejamento executivo do projeto AASP01, estabelecendo cronograma, papéis, plano de comunicação, gestão de riscos, verificação &amp; validação e métricas de sucesso para o desenvolvimento do microsserviço</w:t>
      </w:r>
      <w:r>
        <w:t xml:space="preserve"> </w:t>
      </w:r>
      <w:r>
        <w:rPr>
          <w:b/>
        </w:rPr>
        <w:t xml:space="preserve">ms.auxo.usuarios</w:t>
      </w:r>
      <w:r>
        <w:t xml:space="preserve">.</w:t>
      </w:r>
    </w:p>
    <w:p>
      <w:pPr>
        <w:pStyle w:val="Heading2"/>
      </w:pPr>
      <w:bookmarkStart w:id="22" w:name="escopo-e-premissas"/>
      <w:r>
        <w:t xml:space="preserve">2. Escopo e Premissas</w:t>
      </w:r>
      <w:bookmarkEnd w:id="22"/>
    </w:p>
    <w:p>
      <w:pPr>
        <w:pStyle w:val="FirstParagraph"/>
      </w:pPr>
      <w:r>
        <w:t xml:space="preserve">O escopo deste plano abrange as Sprints 1 a 3 do projeto, conforme detalhado no TAP-AASP01-001 e nos requisitos RF-01 a RF-09 do REQ-AASP01-001.</w:t>
      </w:r>
    </w:p>
    <w:p>
      <w:pPr>
        <w:pStyle w:val="BodyText"/>
      </w:pPr>
      <w:r>
        <w:rPr>
          <w:b/>
        </w:rPr>
        <w:t xml:space="preserve">Premissas:</w:t>
      </w:r>
    </w:p>
    <w:p>
      <w:pPr>
        <w:numPr>
          <w:ilvl w:val="0"/>
          <w:numId w:val="1001"/>
        </w:numPr>
        <w:pStyle w:val="Compact"/>
      </w:pPr>
      <w:r>
        <w:t xml:space="preserve">Ambiente SQL Server (</w:t>
      </w:r>
      <w:r>
        <w:rPr>
          <w:rStyle w:val="VerbatimChar"/>
        </w:rPr>
        <w:t xml:space="preserve">auxo3</w:t>
      </w:r>
      <w:r>
        <w:t xml:space="preserve">) disponível e acessível durante todo o projeto</w:t>
      </w:r>
    </w:p>
    <w:p>
      <w:pPr>
        <w:numPr>
          <w:ilvl w:val="0"/>
          <w:numId w:val="1001"/>
        </w:numPr>
        <w:pStyle w:val="Compact"/>
      </w:pPr>
      <w:r>
        <w:t xml:space="preserve">Acesso ao repositório GitLab concedido antes do início da Sprint 1</w:t>
      </w:r>
    </w:p>
    <w:p>
      <w:pPr>
        <w:numPr>
          <w:ilvl w:val="0"/>
          <w:numId w:val="1001"/>
        </w:numPr>
        <w:pStyle w:val="Compact"/>
      </w:pPr>
      <w:r>
        <w:t xml:space="preserve">Schema e contrato de integração do</w:t>
      </w:r>
      <w:r>
        <w:t xml:space="preserve"> </w:t>
      </w:r>
      <w:r>
        <w:rPr>
          <w:rStyle w:val="VerbatimChar"/>
        </w:rPr>
        <w:t xml:space="preserve">ms.temis.vinculos</w:t>
      </w:r>
      <w:r>
        <w:t xml:space="preserve"> </w:t>
      </w:r>
      <w:r>
        <w:t xml:space="preserve">disponibilizados antes da Sprint 2</w:t>
      </w:r>
    </w:p>
    <w:p>
      <w:pPr>
        <w:numPr>
          <w:ilvl w:val="0"/>
          <w:numId w:val="1001"/>
        </w:numPr>
        <w:pStyle w:val="Compact"/>
      </w:pPr>
      <w:r>
        <w:t xml:space="preserve">Dedicação mínima acordada com as partes para reviews e homologação em cada sprint</w:t>
      </w:r>
    </w:p>
    <w:p>
      <w:pPr>
        <w:pStyle w:val="Heading2"/>
      </w:pPr>
      <w:bookmarkStart w:id="23" w:name="cronograma"/>
      <w:r>
        <w:t xml:space="preserve">3. Cronograma</w:t>
      </w:r>
      <w:bookmarkEnd w:id="23"/>
    </w:p>
    <w:tbl>
      <w:tblPr>
        <w:tblStyle w:val="Table"/>
        <w:tblW w:type="pct" w:w="5000.0"/>
        <w:tblLook w:firstRow="1"/>
      </w:tblPr>
      <w:tblGrid>
        <w:gridCol w:w="654"/>
        <w:gridCol w:w="1505"/>
        <w:gridCol w:w="392"/>
        <w:gridCol w:w="4320"/>
        <w:gridCol w:w="104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Principais Entregas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  <w:tc>
          <w:p>
            <w:pPr>
              <w:pStyle w:val="Compact"/>
              <w:jc w:val="left"/>
            </w:pPr>
            <w:r>
              <w:t xml:space="preserve">26/05/2026–06/06/2026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CRUD grupos (RF-01 a RF-04), Função do usuário (RF-05), Vínculos (RF-06) — MRs !1–!5</w:t>
            </w:r>
          </w:p>
        </w:tc>
        <w:tc>
          <w:p>
            <w:pPr>
              <w:pStyle w:val="Compact"/>
              <w:jc w:val="left"/>
            </w:pPr>
            <w:r>
              <w:t xml:space="preserve">✅ Concluída — aceite Marcos Turnes 06/06/2026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09/06/2026–20/06/2026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Auditoria/Log (RF-07), Integração ms.temis.vinculos (RF-08)</w:t>
            </w:r>
          </w:p>
        </w:tc>
        <w:tc>
          <w:p>
            <w:pPr>
              <w:pStyle w:val="Compact"/>
              <w:jc w:val="left"/>
            </w:pPr>
            <w:r>
              <w:t xml:space="preserve">✅ Concluída — aceite Marcos Turnes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23/06/2026–04/07/2026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Relatórios e CSV export (RF-09), homologação QA</w:t>
            </w:r>
          </w:p>
        </w:tc>
        <w:tc>
          <w:p>
            <w:pPr>
              <w:pStyle w:val="Compact"/>
              <w:jc w:val="left"/>
            </w:pPr>
            <w:r>
              <w:t xml:space="preserve">📋 Planejada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19/05–04/07/2026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bookmarkStart w:id="24" w:name="git-flow"/>
      <w:r>
        <w:t xml:space="preserve">3.1 Git Flow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Finalidade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Código em produção — merge apenas via release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t xml:space="preserve">Integração contínua de features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feature/ag-{id}</w:t>
            </w:r>
          </w:p>
        </w:tc>
        <w:tc>
          <w:p>
            <w:pPr>
              <w:pStyle w:val="Compact"/>
              <w:jc w:val="left"/>
            </w:pPr>
            <w:r>
              <w:t xml:space="preserve">Desenvolvimento de cada requisito 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release/*</w:t>
            </w:r>
          </w:p>
        </w:tc>
        <w:tc>
          <w:p>
            <w:pPr>
              <w:pStyle w:val="Compact"/>
              <w:jc w:val="left"/>
            </w:pPr>
            <w:r>
              <w:t xml:space="preserve">Preparação de entrega ao final de cada sprint</w:t>
            </w:r>
          </w:p>
        </w:tc>
      </w:tr>
    </w:tbl>
    <w:p>
      <w:pPr>
        <w:pStyle w:val="Heading2"/>
      </w:pPr>
      <w:bookmarkStart w:id="25" w:name="papéis-e-responsabilidades"/>
      <w:r>
        <w:t xml:space="preserve">4. Papéis e Responsabilidades</w:t>
      </w:r>
      <w:bookmarkEnd w:id="25"/>
    </w:p>
    <w:tbl>
      <w:tblPr>
        <w:tblStyle w:val="Table"/>
        <w:tblW w:type="pct" w:w="5000.0"/>
        <w:tblLook w:firstRow="1"/>
      </w:tblPr>
      <w:tblGrid>
        <w:gridCol w:w="1532"/>
        <w:gridCol w:w="919"/>
        <w:gridCol w:w="664"/>
        <w:gridCol w:w="480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Responsabilidades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AASP</w:t>
            </w:r>
          </w:p>
        </w:tc>
        <w:tc>
          <w:p>
            <w:pPr>
              <w:pStyle w:val="Compact"/>
              <w:jc w:val="left"/>
            </w:pPr>
            <w:r>
              <w:t xml:space="preserve">Priorização do backlog, aceite de entrega, aprovação de change requests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/ Homologação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</w:t>
            </w:r>
          </w:p>
        </w:tc>
        <w:tc>
          <w:p>
            <w:pPr>
              <w:pStyle w:val="Compact"/>
              <w:jc w:val="left"/>
            </w:pPr>
            <w:r>
              <w:t xml:space="preserve">AASP</w:t>
            </w:r>
          </w:p>
        </w:tc>
        <w:tc>
          <w:p>
            <w:pPr>
              <w:pStyle w:val="Compact"/>
              <w:jc w:val="left"/>
            </w:pPr>
            <w:r>
              <w:t xml:space="preserve">Execução de testes de homologação, emissão de parecer de aceite por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Gerente de Projeto / Tech Lead</w:t>
            </w:r>
          </w:p>
        </w:tc>
        <w:tc>
          <w:p>
            <w:pPr>
              <w:pStyle w:val="Compact"/>
              <w:jc w:val="left"/>
            </w:pPr>
            <w:r>
              <w:t xml:space="preserve">Abraão (GP) · Cezar Hiraki (TL)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Coordenação do projeto, arquitetura técnica, code review, relatório de status, gestão de riscos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Renan Kiyoshi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Implementação das features, testes unitários, atualização da documentação técnica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Henry Komatsu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Implementação das features e testes unitários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Mateus Veloso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Implementação das features e testes unitários</w:t>
            </w:r>
          </w:p>
        </w:tc>
      </w:tr>
    </w:tbl>
    <w:p>
      <w:pPr>
        <w:pStyle w:val="Heading2"/>
      </w:pPr>
      <w:bookmarkStart w:id="26" w:name="plano-de-comunicação"/>
      <w:r>
        <w:t xml:space="preserve">5. Plano de Comunicação</w:t>
      </w:r>
      <w:bookmarkEnd w:id="26"/>
    </w:p>
    <w:tbl>
      <w:tblPr>
        <w:tblStyle w:val="Table"/>
        <w:tblW w:type="pct" w:w="5000.0"/>
        <w:tblLook w:firstRow="1"/>
      </w:tblPr>
      <w:tblGrid>
        <w:gridCol w:w="1571"/>
        <w:gridCol w:w="2577"/>
        <w:gridCol w:w="1005"/>
        <w:gridCol w:w="1760"/>
        <w:gridCol w:w="10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Stand-up</w:t>
            </w:r>
          </w:p>
        </w:tc>
        <w:tc>
          <w:p>
            <w:pPr>
              <w:pStyle w:val="Compact"/>
              <w:jc w:val="left"/>
            </w:pPr>
            <w:r>
              <w:t xml:space="preserve">Diária — 09h30</w:t>
            </w:r>
          </w:p>
        </w:tc>
        <w:tc>
          <w:p>
            <w:pPr>
              <w:pStyle w:val="Compact"/>
              <w:jc w:val="left"/>
            </w:pPr>
            <w:r>
              <w:t xml:space="preserve">Microsoft Teams</w:t>
            </w:r>
          </w:p>
        </w:tc>
        <w:tc>
          <w:p>
            <w:pPr>
              <w:pStyle w:val="Compact"/>
              <w:jc w:val="left"/>
            </w:pPr>
            <w:r>
              <w:t xml:space="preserve">Equipe Timeware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Review</w:t>
            </w:r>
          </w:p>
        </w:tc>
        <w:tc>
          <w:p>
            <w:pPr>
              <w:pStyle w:val="Compact"/>
              <w:jc w:val="left"/>
            </w:pPr>
            <w:r>
              <w:t xml:space="preserve">Sexta-feira da semana de fechamento</w:t>
            </w:r>
          </w:p>
        </w:tc>
        <w:tc>
          <w:p>
            <w:pPr>
              <w:pStyle w:val="Compact"/>
              <w:jc w:val="left"/>
            </w:pPr>
            <w:r>
              <w:t xml:space="preserve">Microsoft Teams</w:t>
            </w:r>
          </w:p>
        </w:tc>
        <w:tc>
          <w:p>
            <w:pPr>
              <w:pStyle w:val="Compact"/>
              <w:jc w:val="left"/>
            </w:pPr>
            <w:r>
              <w:t xml:space="preserve">Equipe completa + PO + QA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Retrospectiva</w:t>
            </w:r>
          </w:p>
        </w:tc>
        <w:tc>
          <w:p>
            <w:pPr>
              <w:pStyle w:val="Compact"/>
              <w:jc w:val="left"/>
            </w:pPr>
            <w:r>
              <w:t xml:space="preserve">Sexta-feira da semana de fechamento</w:t>
            </w:r>
          </w:p>
        </w:tc>
        <w:tc>
          <w:p>
            <w:pPr>
              <w:pStyle w:val="Compact"/>
              <w:jc w:val="left"/>
            </w:pPr>
            <w:r>
              <w:t xml:space="preserve">Microsoft Teams</w:t>
            </w:r>
          </w:p>
        </w:tc>
        <w:tc>
          <w:p>
            <w:pPr>
              <w:pStyle w:val="Compact"/>
              <w:jc w:val="left"/>
            </w:pPr>
            <w:r>
              <w:t xml:space="preserve">Equipe Timeware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de Status</w:t>
            </w:r>
          </w:p>
        </w:tc>
        <w:tc>
          <w:p>
            <w:pPr>
              <w:pStyle w:val="Compact"/>
              <w:jc w:val="left"/>
            </w:pPr>
            <w:r>
              <w:t xml:space="preserve">Semanal — toda segunda-feira</w:t>
            </w:r>
          </w:p>
        </w:tc>
        <w:tc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p>
            <w:pPr>
              <w:pStyle w:val="Compact"/>
              <w:jc w:val="left"/>
            </w:pPr>
            <w:r>
              <w:t xml:space="preserve">Marcos Turnes, Leonardo Francisco Pereira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Comunicações urgentes</w:t>
            </w:r>
          </w:p>
        </w:tc>
        <w:tc>
          <w:p>
            <w:pPr>
              <w:pStyle w:val="Compact"/>
              <w:jc w:val="left"/>
            </w:pPr>
            <w:r>
              <w:t xml:space="preserve">Sob demanda</w:t>
            </w:r>
          </w:p>
        </w:tc>
        <w:tc>
          <w:p>
            <w:pPr>
              <w:pStyle w:val="Compact"/>
              <w:jc w:val="left"/>
            </w:pPr>
            <w:r>
              <w:t xml:space="preserve">Microsoft Teams</w:t>
            </w:r>
          </w:p>
        </w:tc>
        <w:tc>
          <w:p>
            <w:pPr>
              <w:pStyle w:val="Compact"/>
              <w:jc w:val="left"/>
            </w:pPr>
            <w:r>
              <w:t xml:space="preserve">Partes envolvidas</w:t>
            </w:r>
          </w:p>
        </w:tc>
        <w:tc>
          <w:p>
            <w:pPr>
              <w:pStyle w:val="Compact"/>
              <w:jc w:val="left"/>
            </w:pPr>
            <w:r>
              <w:t xml:space="preserve">Qualquer membro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GQA</w:t>
            </w:r>
          </w:p>
        </w:tc>
        <w:tc>
          <w:p>
            <w:pPr>
              <w:pStyle w:val="Compact"/>
              <w:jc w:val="left"/>
            </w:pPr>
            <w:r>
              <w:t xml:space="preserve">Por auditoria (intermediária + encerramento)</w:t>
            </w:r>
          </w:p>
        </w:tc>
        <w:tc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p>
            <w:pPr>
              <w:pStyle w:val="Compact"/>
              <w:jc w:val="left"/>
            </w:pPr>
            <w:r>
              <w:t xml:space="preserve">Silvio Baroni (SEPG)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</w:tr>
    </w:tbl>
    <w:p>
      <w:pPr>
        <w:pStyle w:val="Heading2"/>
      </w:pPr>
      <w:bookmarkStart w:id="27" w:name="plano-de-gestão-de-riscos"/>
      <w:r>
        <w:t xml:space="preserve">6. Plano de Gestão de Riscos</w:t>
      </w:r>
      <w:bookmarkEnd w:id="27"/>
    </w:p>
    <w:p>
      <w:pPr>
        <w:pStyle w:val="Heading3"/>
      </w:pPr>
      <w:bookmarkStart w:id="28" w:name="escala-de-probabilidade-e-impacto"/>
      <w:r>
        <w:t xml:space="preserve">6.1 Escala de Probabilidade e Impacto</w:t>
      </w:r>
      <w:bookmarkEnd w:id="28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Probabilidade:</w:t>
      </w:r>
      <w:r>
        <w:t xml:space="preserve"> </w:t>
      </w:r>
      <w:r>
        <w:t xml:space="preserve">P1 = Baixa | P2 = Média | P3 = Alta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Impacto:</w:t>
      </w:r>
      <w:r>
        <w:t xml:space="preserve"> </w:t>
      </w:r>
      <w:r>
        <w:t xml:space="preserve">I1 = Baixo | I2 = Médio | I3 = Alto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Exposição:</w:t>
      </w:r>
      <w:r>
        <w:t xml:space="preserve"> </w:t>
      </w:r>
      <w:r>
        <w:t xml:space="preserve">P × I (escala 1–9)</w:t>
      </w:r>
    </w:p>
    <w:p>
      <w:pPr>
        <w:pStyle w:val="Heading3"/>
      </w:pPr>
      <w:bookmarkStart w:id="29" w:name="registro-de-riscos"/>
      <w:r>
        <w:t xml:space="preserve">6.2 Registro de Riscos</w:t>
      </w:r>
      <w:bookmarkEnd w:id="29"/>
    </w:p>
    <w:tbl>
      <w:tblPr>
        <w:tblStyle w:val="Table"/>
        <w:tblW w:type="pct" w:w="5000.0"/>
        <w:tblLook w:firstRow="1"/>
      </w:tblPr>
      <w:tblGrid>
        <w:gridCol w:w="286"/>
        <w:gridCol w:w="2433"/>
        <w:gridCol w:w="286"/>
        <w:gridCol w:w="429"/>
        <w:gridCol w:w="524"/>
        <w:gridCol w:w="3673"/>
        <w:gridCol w:w="143"/>
        <w:gridCol w:w="1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Exposição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Resposta / Mitigação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atual (01/07/2026)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Última atualização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p>
            <w:pPr>
              <w:pStyle w:val="Compact"/>
              <w:jc w:val="left"/>
            </w:pPr>
            <w:r>
              <w:t xml:space="preserve">Indisponibilidade do ambiente de homologação AASP</w:t>
            </w:r>
          </w:p>
        </w:tc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Agendamento prévio de janelas de homologação com a equipe AASP</w:t>
            </w:r>
          </w:p>
        </w:tc>
        <w:tc>
          <w:p>
            <w:pPr>
              <w:pStyle w:val="Compact"/>
              <w:jc w:val="left"/>
            </w:pPr>
            <w:r>
              <w:t xml:space="preserve">✅ Encerrado — ambiente disponível e utilizado nas Sprints 1 e 2</w:t>
            </w:r>
          </w:p>
        </w:tc>
        <w:tc>
          <w:p>
            <w:pPr>
              <w:pStyle w:val="Compact"/>
              <w:jc w:val="left"/>
            </w:pPr>
            <w:r>
              <w:t xml:space="preserve">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p>
            <w:pPr>
              <w:pStyle w:val="Compact"/>
              <w:jc w:val="left"/>
            </w:pPr>
            <w:r>
              <w:t xml:space="preserve">Schema do banco</w:t>
            </w:r>
            <w:r>
              <w:t xml:space="preserve"> </w:t>
            </w:r>
            <w:r>
              <w:rPr>
                <w:rStyle w:val="VerbatimChar"/>
              </w:rPr>
              <w:t xml:space="preserve">auxo3</w:t>
            </w:r>
            <w:r>
              <w:t xml:space="preserve"> </w:t>
            </w:r>
            <w:r>
              <w:t xml:space="preserve">com inconsistências</w:t>
            </w:r>
          </w:p>
        </w:tc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Análise do schema antes de cada sprint; scripts de migração com rollback</w:t>
            </w:r>
          </w:p>
        </w:tc>
        <w:tc>
          <w:p>
            <w:pPr>
              <w:pStyle w:val="Compact"/>
              <w:jc w:val="left"/>
            </w:pPr>
            <w:r>
              <w:t xml:space="preserve">✅ Encerrado — schema analisado; migrations aplicadas sem regressões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p>
            <w:pPr>
              <w:pStyle w:val="Compact"/>
              <w:jc w:val="left"/>
            </w:pPr>
            <w:r>
              <w:t xml:space="preserve">Mudança de escopo solicitada pelo PO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Escopo congelado após assinatura do TAP; novas demandas tratadas via CR formal</w:t>
            </w:r>
          </w:p>
        </w:tc>
        <w:tc>
          <w:p>
            <w:pPr>
              <w:pStyle w:val="Compact"/>
              <w:jc w:val="left"/>
            </w:pPr>
            <w:r>
              <w:t xml:space="preserve">✅ Encerrado — zero CRs registrados; escopo estável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p>
            <w:pPr>
              <w:pStyle w:val="Compact"/>
              <w:jc w:val="left"/>
            </w:pPr>
            <w:r>
              <w:t xml:space="preserve">Falha na integração com</w:t>
            </w:r>
            <w:r>
              <w:t xml:space="preserve"> </w:t>
            </w:r>
            <w:r>
              <w:rPr>
                <w:rStyle w:val="VerbatimChar"/>
              </w:rPr>
              <w:t xml:space="preserve">ms.temis.vinculos</w:t>
            </w:r>
          </w:p>
        </w:tc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Contrato de API definido em ITP antes da Sprint 2; ambiente de mock para testes</w:t>
            </w:r>
          </w:p>
        </w:tc>
        <w:tc>
          <w:p>
            <w:pPr>
              <w:pStyle w:val="Compact"/>
              <w:jc w:val="left"/>
            </w:pPr>
            <w:r>
              <w:t xml:space="preserve">🟡 Monitoramento ativo — integração implementada e aceita na Sprint 2; validação final em Sprint 3</w:t>
            </w:r>
          </w:p>
        </w:tc>
        <w:tc>
          <w:p>
            <w:pPr>
              <w:pStyle w:val="Compact"/>
              <w:jc w:val="left"/>
            </w:pPr>
            <w:r>
              <w:t xml:space="preserve">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p>
            <w:pPr>
              <w:pStyle w:val="Compact"/>
              <w:jc w:val="left"/>
            </w:pPr>
            <w:r>
              <w:t xml:space="preserve">Indisponibilidade do desenvolvedor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Pair programming documentado; documentação técnica sempre atualizada</w:t>
            </w:r>
          </w:p>
        </w:tc>
        <w:tc>
          <w:p>
            <w:pPr>
              <w:pStyle w:val="Compact"/>
              <w:jc w:val="left"/>
            </w:pPr>
            <w:r>
              <w:t xml:space="preserve">✅ Encerrado — sem indisponibilidade registrada em nenhuma sprint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</w:tbl>
    <w:p>
      <w:pPr>
        <w:pStyle w:val="Heading2"/>
      </w:pPr>
      <w:bookmarkStart w:id="30" w:name="plano-de-verificação-e-validação-vv"/>
      <w:r>
        <w:t xml:space="preserve">7. Plano de Verificação e Validação (V&amp;V)</w:t>
      </w:r>
      <w:bookmarkEnd w:id="30"/>
    </w:p>
    <w:tbl>
      <w:tblPr>
        <w:tblStyle w:val="Table"/>
        <w:tblW w:type="pct" w:w="5000.0"/>
        <w:tblLook w:firstRow="1"/>
      </w:tblPr>
      <w:tblGrid>
        <w:gridCol w:w="1766"/>
        <w:gridCol w:w="1218"/>
        <w:gridCol w:w="1157"/>
        <w:gridCol w:w="37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 de Conclusão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unitários</w:t>
            </w:r>
          </w:p>
        </w:tc>
        <w:tc>
          <w:p>
            <w:pPr>
              <w:pStyle w:val="Compact"/>
              <w:jc w:val="left"/>
            </w:pPr>
            <w:r>
              <w:t xml:space="preserve">A cada sprint</w:t>
            </w:r>
          </w:p>
        </w:tc>
        <w:tc>
          <w:p>
            <w:pPr>
              <w:pStyle w:val="Compact"/>
              <w:jc w:val="left"/>
            </w:pPr>
            <w:r>
              <w:t xml:space="preserve">Renan Kiyoshi, Henry Komatsu e Mateus Veloso (cada dev responsável pelo próprio código)</w:t>
            </w:r>
          </w:p>
        </w:tc>
        <w:tc>
          <w:p>
            <w:pPr>
              <w:pStyle w:val="Compact"/>
              <w:jc w:val="left"/>
            </w:pPr>
            <w:r>
              <w:t xml:space="preserve">Cobertura ≥ 60% nos módulos entregues na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p>
            <w:pPr>
              <w:pStyle w:val="Compact"/>
              <w:jc w:val="left"/>
            </w:pPr>
            <w:r>
              <w:t xml:space="preserve">A cada MR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Aprovação formal no GitLab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de integração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Endpoints integrados validados em ambiente de desenvolvimento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Homologação QA</w:t>
            </w:r>
          </w:p>
        </w:tc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</w:t>
            </w:r>
          </w:p>
        </w:tc>
        <w:tc>
          <w:p>
            <w:pPr>
              <w:pStyle w:val="Compact"/>
              <w:jc w:val="left"/>
            </w:pPr>
            <w:r>
              <w:t xml:space="preserve">Parecer de aceite emitido pela QA da AASP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Aceite formal</w:t>
            </w:r>
          </w:p>
        </w:tc>
        <w:tc>
          <w:p>
            <w:pPr>
              <w:pStyle w:val="Compact"/>
              <w:jc w:val="left"/>
            </w:pPr>
            <w:r>
              <w:t xml:space="preserve">Fim de cada sprint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Confirmação escrita do PO (e-mail ou Teams)</w:t>
            </w:r>
          </w:p>
        </w:tc>
      </w:tr>
    </w:tbl>
    <w:p>
      <w:pPr>
        <w:pStyle w:val="Heading2"/>
      </w:pPr>
      <w:bookmarkStart w:id="31" w:name="métricas-de-sucesso"/>
      <w:r>
        <w:t xml:space="preserve">8. Métricas de Sucesso</w:t>
      </w:r>
      <w:bookmarkEnd w:id="31"/>
    </w:p>
    <w:tbl>
      <w:tblPr>
        <w:tblStyle w:val="Table"/>
        <w:tblW w:type="pct" w:w="5000.0"/>
        <w:tblLook w:firstRow="1"/>
      </w:tblPr>
      <w:tblGrid>
        <w:gridCol w:w="535"/>
        <w:gridCol w:w="73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p>
            <w:pPr>
              <w:pStyle w:val="Compact"/>
              <w:jc w:val="left"/>
            </w:pPr>
            <w:r>
              <w:t xml:space="preserve">100% dos requisitos funcionais (RF-01 a RF-09) entregues e aceitos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p>
            <w:pPr>
              <w:pStyle w:val="Compact"/>
              <w:jc w:val="left"/>
            </w:pPr>
            <w:r>
              <w:t xml:space="preserve">Cobertura de testes unitários ≥ 60% em todos os módulos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p>
            <w:pPr>
              <w:pStyle w:val="Compact"/>
              <w:jc w:val="left"/>
            </w:pPr>
            <w:r>
              <w:t xml:space="preserve">Tempo de resposta ≤ 500 ms para 95% das requisições (RNF-01)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p>
            <w:pPr>
              <w:pStyle w:val="Compact"/>
              <w:jc w:val="left"/>
            </w:pPr>
            <w:r>
              <w:t xml:space="preserve">Zero defeitos críticos abertos na entrega 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de sprint em 100% das sprints pelo 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p>
            <w:pPr>
              <w:pStyle w:val="Compact"/>
              <w:jc w:val="left"/>
            </w:pPr>
            <w:r>
              <w:t xml:space="preserve">Integração com</w:t>
            </w:r>
            <w:r>
              <w:t xml:space="preserve"> </w:t>
            </w:r>
            <w:r>
              <w:rPr>
                <w:rStyle w:val="VerbatimChar"/>
              </w:rPr>
              <w:t xml:space="preserve">ms.temis.vinculos</w:t>
            </w:r>
            <w:r>
              <w:t xml:space="preserve"> </w:t>
            </w:r>
            <w:r>
              <w:t xml:space="preserve">validada em homologação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p>
            <w:pPr>
              <w:pStyle w:val="Compact"/>
              <w:jc w:val="left"/>
            </w:pPr>
            <w:r>
              <w:t xml:space="preserve">Número de Change Requests aprovados: 0 (escopo estável conforme TAP) — qualquer CR aprovado deve ter impacto em prazo e custo documentado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p>
            <w:pPr>
              <w:pStyle w:val="Compact"/>
              <w:jc w:val="left"/>
            </w:pPr>
            <w:r>
              <w:t xml:space="preserve">Entrega dentro do prazo definido no TAP (até 04/07/2026)</w:t>
            </w:r>
          </w:p>
        </w:tc>
      </w:tr>
    </w:tbl>
    <w:p>
      <w:pPr>
        <w:pStyle w:val="Heading2"/>
      </w:pPr>
      <w:bookmarkStart w:id="32" w:name="processo-de-change-request"/>
      <w:r>
        <w:t xml:space="preserve">9. Processo de Change Request</w:t>
      </w:r>
      <w:bookmarkEnd w:id="32"/>
    </w:p>
    <w:p>
      <w:pPr>
        <w:pStyle w:val="FirstParagraph"/>
      </w:pPr>
      <w:r>
        <w:t xml:space="preserve">Toda solicitação de alteração de escopo, prazo ou custo deve:</w:t>
      </w:r>
    </w:p>
    <w:p>
      <w:pPr>
        <w:numPr>
          <w:ilvl w:val="0"/>
          <w:numId w:val="1003"/>
        </w:numPr>
        <w:pStyle w:val="Compact"/>
      </w:pPr>
      <w:r>
        <w:t xml:space="preserve">Ser formalizada por escrito (e-mail ou formulário CR) pelo solicitante</w:t>
      </w:r>
    </w:p>
    <w:p>
      <w:pPr>
        <w:numPr>
          <w:ilvl w:val="0"/>
          <w:numId w:val="1003"/>
        </w:numPr>
        <w:pStyle w:val="Compact"/>
      </w:pPr>
      <w:r>
        <w:t xml:space="preserve">Ser avaliada pelo Gerente de Projeto (Abraão) quanto a impacto em prazo, esforço e riscos</w:t>
      </w:r>
    </w:p>
    <w:p>
      <w:pPr>
        <w:numPr>
          <w:ilvl w:val="0"/>
          <w:numId w:val="1003"/>
        </w:numPr>
        <w:pStyle w:val="Compact"/>
      </w:pPr>
      <w:r>
        <w:t xml:space="preserve">Ser aprovada formalmente por</w:t>
      </w:r>
      <w:r>
        <w:t xml:space="preserve"> </w:t>
      </w:r>
      <w:r>
        <w:rPr>
          <w:b/>
        </w:rPr>
        <w:t xml:space="preserve">Marcos Turnes (AASP)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Abraão (Timeware)</w:t>
      </w:r>
    </w:p>
    <w:p>
      <w:pPr>
        <w:numPr>
          <w:ilvl w:val="0"/>
          <w:numId w:val="1003"/>
        </w:numPr>
        <w:pStyle w:val="Compact"/>
      </w:pPr>
      <w:r>
        <w:t xml:space="preserve">Ser registrada no documento de Change Requests (CR-AASP01) com número sequencial</w:t>
      </w:r>
    </w:p>
    <w:p>
      <w:pPr>
        <w:numPr>
          <w:ilvl w:val="0"/>
          <w:numId w:val="1003"/>
        </w:numPr>
        <w:pStyle w:val="Compact"/>
      </w:pPr>
      <w:r>
        <w:t xml:space="preserve">Ter o plano atualizado antes da implementação</w:t>
      </w:r>
    </w:p>
    <w:p>
      <w:pPr>
        <w:pStyle w:val="FirstParagraph"/>
      </w:pPr>
      <w:r>
        <w:t xml:space="preserve">Mudanças não aprovadas por amba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2026-07-01T12:41:48Z</dcterms:created>
  <dcterms:modified xsi:type="dcterms:W3CDTF">2026-07-01T12:41:48Z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